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pPr>
      <w:r>
        <w:rPr>
          <w:rFonts w:ascii="Arial" w:hAnsi="Arial"/>
          <w:b/>
          <w:color w:val="5A2F7A"/>
          <w:sz w:val="36"/>
        </w:rPr>
        <w:t>DevenIT</w:t>
      </w:r>
    </w:p>
    <w:p>
      <w:pPr>
        <w:pStyle w:val="Title"/>
        <w:jc w:val="left"/>
      </w:pPr>
      <w:r>
        <w:t>Általános Szerződési Feltételek</w:t>
      </w:r>
    </w:p>
    <w:p>
      <w:pPr>
        <w:pStyle w:val="Subtitle"/>
        <w:jc w:val="left"/>
      </w:pPr>
      <w:r>
        <w:t>A DevenIT időpontfoglaló, interneten elérhető üzleti szoftverszolgáltatás igénybevételére</w:t>
      </w:r>
    </w:p>
    <w:p>
      <w:pPr>
        <w:spacing w:before="240"/>
        <w:pBdr>
          <w:bottom w:val="single" w:sz="16" w:space="4" w:color="5A2F7A"/>
        </w:pBdr>
      </w:pPr>
    </w:p>
    <w:tbl>
      <w:tblPr>
        <w:tblW w:type="auto" w:w="0"/>
        <w:jc w:val="center"/>
        <w:tblLayout w:type="fixed"/>
        <w:tblLook w:firstColumn="1" w:firstRow="1" w:lastColumn="0" w:lastRow="0" w:noHBand="0" w:noVBand="1" w:val="04A0"/>
      </w:tblPr>
      <w:tblGrid>
        <w:gridCol w:w="4961"/>
        <w:gridCol w:w="4961"/>
      </w:tblGrid>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Szolgáltató</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Dévényi Tamás egyéni vállalkozó, DevenIT kereskedelmi megjelöléssel</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Szolgáltatás</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Interneten elérhető időpontfoglaló és kapcsolódó adminisztrációs rendszer</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Személyi hatály</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Kizárólag gazdasági, szakmai vagy szervezeti tevékenysége körében eljáró vállalkozások és szervezetek</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Dokumentumazonosító</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DEVENIT-ASZF-IDŐPONTFOGLALÓ-2.0/2026</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Verzió</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2.0 – 2026. július 29.</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Hatálybalépés</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A jelen ÁSZF honlapon történő közzétételének napja</w:t>
            </w:r>
          </w:p>
        </w:tc>
      </w:tr>
      <w:tr>
        <w:trPr>
          <w:cantSplit/>
        </w:trPr>
        <w:tc>
          <w:tcPr>
            <w:tcW w:type="dxa" w:w="294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Állandó elérhetőség</w:t>
            </w:r>
          </w:p>
        </w:tc>
        <w:tc>
          <w:tcPr>
            <w:tcW w:type="dxa" w:w="623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https://devenit.hu/idopontfoglalo/aszf</w:t>
            </w:r>
          </w:p>
        </w:tc>
      </w:tr>
    </w:tbl>
    <w:p>
      <w:pPr>
        <w:pStyle w:val="LegalEmphasis"/>
        <w:spacing w:before="240"/>
      </w:pPr>
      <w:r>
        <w:rPr>
          <w:b/>
        </w:rPr>
        <w:t>A jelen ÁSZF kizárólag fogyasztónak nem minősülő vállalkozások és más szervezetek részére irányadó. A Szolgáltatás fogyasztói célú előfizetés keretében nem vehető igénybe.</w:t>
      </w:r>
    </w:p>
    <w:p>
      <w:r>
        <w:br w:type="page"/>
      </w:r>
    </w:p>
    <w:p>
      <w:pPr>
        <w:pStyle w:val="Heading1"/>
        <w:keepNext/>
        <w:keepNext/>
      </w:pPr>
      <w:r>
        <w:t>Kiemelt rendelkezések és külön elfogadás</w:t>
      </w:r>
    </w:p>
    <w:p>
      <w:pPr>
        <w:spacing w:after="90" w:line="252" w:lineRule="auto"/>
        <w:keepLines/>
      </w:pPr>
      <w:r>
        <w:t>A Polgári Törvénykönyv általános szerződési feltételekre vonatkozó rendelkezéseire tekintettel a Szolgáltató a szerződéskötést megelőzően külön felhívja az Előfizető figyelmét az alábbi, a szokásos szerződési gyakorlattól vagy a diszpozitív jogszabályi rendelkezésektől lényegesen eltérő feltételekre. E rendelkezések a szerződés részévé az Előfizető kifejezett elektronikus elfogadásával válnak.</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Kiemelt feltétel</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Lényegi tartalom</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Automatikus megújulás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online bankkártyával fizetett előfizetés havonta automatikusan megújul, és a mindenkori havidíj a Megújulási napon előre esedékes.</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Lemondás és visszatérítés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lemondás az aktuális, már kifizetett Előfizetési időszak végére hatályos; a megkezdett időszak díja főszabály szerint nem téríthető vissza.</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Fejlesztés alatt álló rendszer</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Szolgáltatás aktív fejlesztés alatt áll; hibák, kompatibilitási problémák, lassulások, részleges vagy teljes kiesések előfordulhatnak.</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Rendelkezésre állás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Külön szolgáltatási szint megállapodás hiányában a Szolgáltató meghatározott százalékos rendelkezésre állást és garantált hibaelhárítási határidőt nem vállal.</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Felfüggesztés és megszüntetés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Díjnemfizetés, jogellenes, visszaélésszerű vagy biztonságot veszélyeztető használat esetén a hozzáférés előzetes értesítés nélkül is korlátozható vagy felfüggeszthető.</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Felelősségkorlátozás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közvetett és következményi károk, ideértve az elmaradt bevételt, hasznot, foglalást, vendéget és üzleti lehetőséget, főszabály szerint kizártak; a Szolgáltató összesített felelőssége a megelőző hat hónapban megfizetett előfizetési díj összegére korlátozott.</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Harmadik személyi igényekért való helytállás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Előfizető köteles helytállni a saját vagy Jogosult felhasználói jogellenes adatkezeléséből, tartalmából, szolgáltatásából vagy szerződésszegéséből eredő harmadik személyi igényekért.</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Üzletmenet-folytonosság</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Előfizető köteles a Szolgáltatástól független, ésszerűen alkalmazható kapcsolattartási vagy foglalási lehetőséget fenntartani.</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ÁSZF- és díjmódosítás</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Szolgáltató a feltételeket és a listaárakat a jelen ÁSZF-ben meghatározott előzetes értesítéssel egyoldalúan módosíthatja.</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Aladatfeldolgozók</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Előfizető általános felhatalmazást ad a Rackhost Zrt. és a jelen ÁSZF szerint bejelentett további aladatfeldolgozók igénybevételére.</w:t>
            </w:r>
          </w:p>
        </w:tc>
      </w:tr>
      <w:tr>
        <w:trPr>
          <w:cantSplit/>
        </w:trPr>
        <w:tc>
          <w:tcPr>
            <w:tcW w:type="dxa" w:w="255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Illetékesség</w:t>
            </w:r>
          </w:p>
        </w:tc>
        <w:tc>
          <w:tcPr>
            <w:tcW w:type="dxa" w:w="6633"/>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felek – amennyiben jogszabály megengedi – a Szolgáltató székhelye szerint hatáskörrel és illetékességgel rendelkező magyar bíróság kizárólagos illetékességét kötik ki.</w:t>
            </w:r>
          </w:p>
        </w:tc>
      </w:tr>
    </w:tbl>
    <w:p>
      <w:pPr>
        <w:pStyle w:val="LegalEmphasis"/>
        <w:spacing w:after="90" w:line="252" w:lineRule="auto"/>
        <w:keepLines/>
      </w:pPr>
      <w:r>
        <w:t>Az Előfizető az ÁSZF elfogadására szolgáló külön jelölőnégyzet vagy az M4. melléklet szerinti elektronikus nyilatkozat megtételével a fenti rendelkezéseket kifejezetten elfogadja.</w:t>
      </w:r>
    </w:p>
    <w:p>
      <w:r>
        <w:br w:type="page"/>
      </w:r>
    </w:p>
    <w:p>
      <w:pPr>
        <w:pStyle w:val="Heading1"/>
        <w:keepNext/>
        <w:keepNext/>
      </w:pPr>
      <w:r>
        <w:t>Tartalomjegyzék</w:t>
      </w:r>
    </w:p>
    <w:p>
      <w:pPr>
        <w:pStyle w:val="TOCManual"/>
        <w:tabs>
          <w:tab w:pos="9071" w:val="left"/>
        </w:tabs>
        <w:spacing w:after="30"/>
        <w:ind w:left="0" w:right="0"/>
      </w:pPr>
      <w:r>
        <w:rPr>
          <w:b/>
          <w:color w:val="3D1F56"/>
        </w:rPr>
        <w:t>1. A Szolgáltató adatai, az ÁSZF hatálya és a szerződés jogi jellege</w:t>
      </w:r>
      <w:r>
        <w:tab/>
        <w:t>4</w:t>
      </w:r>
    </w:p>
    <w:p>
      <w:pPr>
        <w:pStyle w:val="TOCManual"/>
        <w:tabs>
          <w:tab w:pos="9071" w:val="left"/>
        </w:tabs>
        <w:spacing w:after="30"/>
        <w:ind w:left="0" w:right="0"/>
      </w:pPr>
      <w:r>
        <w:rPr>
          <w:b/>
          <w:color w:val="3D1F56"/>
        </w:rPr>
        <w:t>2. Fogalommeghatározások</w:t>
      </w:r>
      <w:r>
        <w:tab/>
        <w:t>4</w:t>
      </w:r>
    </w:p>
    <w:p>
      <w:pPr>
        <w:pStyle w:val="TOCManual"/>
        <w:tabs>
          <w:tab w:pos="9071" w:val="left"/>
        </w:tabs>
        <w:spacing w:after="30"/>
        <w:ind w:left="0" w:right="0"/>
      </w:pPr>
      <w:r>
        <w:rPr>
          <w:b/>
          <w:color w:val="3D1F56"/>
        </w:rPr>
        <w:t>3. A szerződés létrejötte és elektronikus elfogadása</w:t>
      </w:r>
      <w:r>
        <w:tab/>
        <w:t>5</w:t>
      </w:r>
    </w:p>
    <w:p>
      <w:pPr>
        <w:pStyle w:val="TOCManual"/>
        <w:tabs>
          <w:tab w:pos="9071" w:val="left"/>
        </w:tabs>
        <w:spacing w:after="30"/>
        <w:ind w:left="0" w:right="0"/>
      </w:pPr>
      <w:r>
        <w:rPr>
          <w:b/>
          <w:color w:val="3D1F56"/>
        </w:rPr>
        <w:t>4. Regisztráció, aktiválás és próbahasználat</w:t>
      </w:r>
      <w:r>
        <w:tab/>
        <w:t>6</w:t>
      </w:r>
    </w:p>
    <w:p>
      <w:pPr>
        <w:pStyle w:val="TOCManual"/>
        <w:tabs>
          <w:tab w:pos="9071" w:val="left"/>
        </w:tabs>
        <w:spacing w:after="30"/>
        <w:ind w:left="0" w:right="0"/>
      </w:pPr>
      <w:r>
        <w:rPr>
          <w:b/>
          <w:color w:val="3D1F56"/>
        </w:rPr>
        <w:t>5. A Szolgáltatás tárgya, csomagjai és kiegészítő szolgáltatásai</w:t>
      </w:r>
      <w:r>
        <w:tab/>
        <w:t>6</w:t>
      </w:r>
    </w:p>
    <w:p>
      <w:pPr>
        <w:pStyle w:val="TOCManual"/>
        <w:tabs>
          <w:tab w:pos="9071" w:val="left"/>
        </w:tabs>
        <w:spacing w:after="30"/>
        <w:ind w:left="0" w:right="0"/>
      </w:pPr>
      <w:r>
        <w:rPr>
          <w:b/>
          <w:color w:val="3D1F56"/>
        </w:rPr>
        <w:t>6. Díjak, fizetés, automatikus megújulás és késedelem</w:t>
      </w:r>
      <w:r>
        <w:tab/>
        <w:t>6</w:t>
      </w:r>
    </w:p>
    <w:p>
      <w:pPr>
        <w:pStyle w:val="TOCManual"/>
        <w:tabs>
          <w:tab w:pos="9071" w:val="left"/>
        </w:tabs>
        <w:spacing w:after="30"/>
        <w:ind w:left="0" w:right="0"/>
      </w:pPr>
      <w:r>
        <w:rPr>
          <w:b/>
          <w:color w:val="3D1F56"/>
        </w:rPr>
        <w:t>7. Csomagváltás, kapacitáscsökkentés és hozzáférések</w:t>
      </w:r>
      <w:r>
        <w:tab/>
        <w:t>7</w:t>
      </w:r>
    </w:p>
    <w:p>
      <w:pPr>
        <w:pStyle w:val="TOCManual"/>
        <w:tabs>
          <w:tab w:pos="9071" w:val="left"/>
        </w:tabs>
        <w:spacing w:after="30"/>
        <w:ind w:left="0" w:right="0"/>
      </w:pPr>
      <w:r>
        <w:rPr>
          <w:b/>
          <w:color w:val="3D1F56"/>
        </w:rPr>
        <w:t>8. Promóciók, kedvezmények és díjmentes hozzáférések</w:t>
      </w:r>
      <w:r>
        <w:tab/>
        <w:t>7</w:t>
      </w:r>
    </w:p>
    <w:p>
      <w:pPr>
        <w:pStyle w:val="TOCManual"/>
        <w:tabs>
          <w:tab w:pos="9071" w:val="left"/>
        </w:tabs>
        <w:spacing w:after="30"/>
        <w:ind w:left="0" w:right="0"/>
      </w:pPr>
      <w:r>
        <w:rPr>
          <w:b/>
          <w:color w:val="3D1F56"/>
        </w:rPr>
        <w:t>9. Az Előfizető és a Foglaló személy közötti jogviszony</w:t>
      </w:r>
      <w:r>
        <w:tab/>
        <w:t>7</w:t>
      </w:r>
    </w:p>
    <w:p>
      <w:pPr>
        <w:pStyle w:val="TOCManual"/>
        <w:tabs>
          <w:tab w:pos="9071" w:val="left"/>
        </w:tabs>
        <w:spacing w:after="30"/>
        <w:ind w:left="0" w:right="0"/>
      </w:pPr>
      <w:r>
        <w:rPr>
          <w:b/>
          <w:color w:val="3D1F56"/>
        </w:rPr>
        <w:t>10. Az Előfizető kötelezettségei és jogi megfelelése</w:t>
      </w:r>
      <w:r>
        <w:tab/>
        <w:t>8</w:t>
      </w:r>
    </w:p>
    <w:p>
      <w:pPr>
        <w:pStyle w:val="TOCManual"/>
        <w:tabs>
          <w:tab w:pos="9071" w:val="left"/>
        </w:tabs>
        <w:spacing w:after="30"/>
        <w:ind w:left="0" w:right="0"/>
      </w:pPr>
      <w:r>
        <w:rPr>
          <w:b/>
          <w:color w:val="3D1F56"/>
        </w:rPr>
        <w:t>11. Fiókbiztonság, tiltott használat és tartalmak</w:t>
      </w:r>
      <w:r>
        <w:tab/>
        <w:t>8</w:t>
      </w:r>
    </w:p>
    <w:p>
      <w:pPr>
        <w:pStyle w:val="TOCManual"/>
        <w:tabs>
          <w:tab w:pos="9071" w:val="left"/>
        </w:tabs>
        <w:spacing w:after="30"/>
        <w:ind w:left="0" w:right="0"/>
      </w:pPr>
      <w:r>
        <w:rPr>
          <w:b/>
          <w:color w:val="3D1F56"/>
        </w:rPr>
        <w:t>12. Külső szolgáltatások, fizetés, számlázás és üzenetküldés</w:t>
      </w:r>
      <w:r>
        <w:tab/>
        <w:t>9</w:t>
      </w:r>
    </w:p>
    <w:p>
      <w:pPr>
        <w:pStyle w:val="TOCManual"/>
        <w:tabs>
          <w:tab w:pos="9071" w:val="left"/>
        </w:tabs>
        <w:spacing w:after="30"/>
        <w:ind w:left="0" w:right="0"/>
      </w:pPr>
      <w:r>
        <w:rPr>
          <w:b/>
          <w:color w:val="3D1F56"/>
        </w:rPr>
        <w:t>13. Fejlesztés, karbantartás, támogatás és panaszkezelés</w:t>
      </w:r>
      <w:r>
        <w:tab/>
        <w:t>9</w:t>
      </w:r>
    </w:p>
    <w:p>
      <w:pPr>
        <w:pStyle w:val="TOCManual"/>
        <w:tabs>
          <w:tab w:pos="9071" w:val="left"/>
        </w:tabs>
        <w:spacing w:after="30"/>
        <w:ind w:left="0" w:right="0"/>
      </w:pPr>
      <w:r>
        <w:rPr>
          <w:b/>
          <w:color w:val="3D1F56"/>
        </w:rPr>
        <w:t>14. Rendelkezésre állás, mentések és üzletmenet-folytonosság</w:t>
      </w:r>
      <w:r>
        <w:tab/>
        <w:t>9</w:t>
      </w:r>
    </w:p>
    <w:p>
      <w:pPr>
        <w:pStyle w:val="TOCManual"/>
        <w:tabs>
          <w:tab w:pos="9071" w:val="left"/>
        </w:tabs>
        <w:spacing w:after="30"/>
        <w:ind w:left="0" w:right="0"/>
      </w:pPr>
      <w:r>
        <w:rPr>
          <w:b/>
          <w:color w:val="3D1F56"/>
        </w:rPr>
        <w:t>15. Szellemi tulajdon, ügyféltartalom, visszajelzés és referencia</w:t>
      </w:r>
      <w:r>
        <w:tab/>
        <w:t>10</w:t>
      </w:r>
    </w:p>
    <w:p>
      <w:pPr>
        <w:pStyle w:val="TOCManual"/>
        <w:tabs>
          <w:tab w:pos="9071" w:val="left"/>
        </w:tabs>
        <w:spacing w:after="30"/>
        <w:ind w:left="0" w:right="0"/>
      </w:pPr>
      <w:r>
        <w:rPr>
          <w:b/>
          <w:color w:val="3D1F56"/>
        </w:rPr>
        <w:t>16. Adatvédelmi szerepek és adatfeldolgozási megállapodás</w:t>
      </w:r>
      <w:r>
        <w:tab/>
        <w:t>10</w:t>
      </w:r>
    </w:p>
    <w:p>
      <w:pPr>
        <w:pStyle w:val="TOCManual"/>
        <w:tabs>
          <w:tab w:pos="9071" w:val="left"/>
        </w:tabs>
        <w:spacing w:after="30"/>
        <w:ind w:left="0" w:right="0"/>
      </w:pPr>
      <w:r>
        <w:rPr>
          <w:b/>
          <w:color w:val="3D1F56"/>
        </w:rPr>
        <w:t>17. Adatfeldolgozói kötelezettségek, érintetti kérelmek és ellenőrzés</w:t>
      </w:r>
      <w:r>
        <w:tab/>
        <w:t>10</w:t>
      </w:r>
    </w:p>
    <w:p>
      <w:pPr>
        <w:pStyle w:val="TOCManual"/>
        <w:tabs>
          <w:tab w:pos="9071" w:val="left"/>
        </w:tabs>
        <w:spacing w:after="30"/>
        <w:ind w:left="0" w:right="0"/>
      </w:pPr>
      <w:r>
        <w:rPr>
          <w:b/>
          <w:color w:val="3D1F56"/>
        </w:rPr>
        <w:t>18. Aladatfeldolgozók és nemzetközi adattovábbítás</w:t>
      </w:r>
      <w:r>
        <w:tab/>
        <w:t>11</w:t>
      </w:r>
    </w:p>
    <w:p>
      <w:pPr>
        <w:pStyle w:val="TOCManual"/>
        <w:tabs>
          <w:tab w:pos="9071" w:val="left"/>
        </w:tabs>
        <w:spacing w:after="30"/>
        <w:ind w:left="0" w:right="0"/>
      </w:pPr>
      <w:r>
        <w:rPr>
          <w:b/>
          <w:color w:val="3D1F56"/>
        </w:rPr>
        <w:t>19. Adatmegőrzés, export és törlés</w:t>
      </w:r>
      <w:r>
        <w:tab/>
        <w:t>11</w:t>
      </w:r>
    </w:p>
    <w:p>
      <w:pPr>
        <w:pStyle w:val="TOCManual"/>
        <w:tabs>
          <w:tab w:pos="9071" w:val="left"/>
        </w:tabs>
        <w:spacing w:after="30"/>
        <w:ind w:left="0" w:right="0"/>
      </w:pPr>
      <w:r>
        <w:rPr>
          <w:b/>
          <w:color w:val="3D1F56"/>
        </w:rPr>
        <w:t>20. Titoktartás</w:t>
      </w:r>
      <w:r>
        <w:tab/>
        <w:t>12</w:t>
      </w:r>
    </w:p>
    <w:p>
      <w:pPr>
        <w:pStyle w:val="TOCManual"/>
        <w:tabs>
          <w:tab w:pos="9071" w:val="left"/>
        </w:tabs>
        <w:spacing w:after="30"/>
        <w:ind w:left="0" w:right="0"/>
      </w:pPr>
      <w:r>
        <w:rPr>
          <w:b/>
          <w:color w:val="3D1F56"/>
        </w:rPr>
        <w:t>21. Szavatosság, felelősség és harmadik személyi igényekért való helytállás</w:t>
      </w:r>
      <w:r>
        <w:tab/>
        <w:t>12</w:t>
      </w:r>
    </w:p>
    <w:p>
      <w:pPr>
        <w:pStyle w:val="TOCManual"/>
        <w:tabs>
          <w:tab w:pos="9071" w:val="left"/>
        </w:tabs>
        <w:spacing w:after="30"/>
        <w:ind w:left="0" w:right="0"/>
      </w:pPr>
      <w:r>
        <w:rPr>
          <w:b/>
          <w:color w:val="3D1F56"/>
        </w:rPr>
        <w:t>22. Felfüggesztés, felmondás és megszűnés</w:t>
      </w:r>
      <w:r>
        <w:tab/>
        <w:t>13</w:t>
      </w:r>
    </w:p>
    <w:p>
      <w:pPr>
        <w:pStyle w:val="TOCManual"/>
        <w:tabs>
          <w:tab w:pos="9071" w:val="left"/>
        </w:tabs>
        <w:spacing w:after="30"/>
        <w:ind w:left="0" w:right="0"/>
      </w:pPr>
      <w:r>
        <w:rPr>
          <w:b/>
          <w:color w:val="3D1F56"/>
        </w:rPr>
        <w:t>23. Az ÁSZF, a díjak, a Szolgáltatás és az infrastruktúra módosítása</w:t>
      </w:r>
      <w:r>
        <w:tab/>
        <w:t>13</w:t>
      </w:r>
    </w:p>
    <w:p>
      <w:pPr>
        <w:pStyle w:val="TOCManual"/>
        <w:tabs>
          <w:tab w:pos="9071" w:val="left"/>
        </w:tabs>
        <w:spacing w:after="30"/>
        <w:ind w:left="0" w:right="0"/>
      </w:pPr>
      <w:r>
        <w:rPr>
          <w:b/>
          <w:color w:val="3D1F56"/>
        </w:rPr>
        <w:t>24. Értesítések és kapcsolattartás</w:t>
      </w:r>
      <w:r>
        <w:tab/>
        <w:t>13</w:t>
      </w:r>
    </w:p>
    <w:p>
      <w:pPr>
        <w:pStyle w:val="TOCManual"/>
        <w:tabs>
          <w:tab w:pos="9071" w:val="left"/>
        </w:tabs>
        <w:spacing w:after="30"/>
        <w:ind w:left="0" w:right="0"/>
      </w:pPr>
      <w:r>
        <w:rPr>
          <w:b/>
          <w:color w:val="3D1F56"/>
        </w:rPr>
        <w:t>25. Vis maior</w:t>
      </w:r>
      <w:r>
        <w:tab/>
        <w:t>14</w:t>
      </w:r>
    </w:p>
    <w:p>
      <w:pPr>
        <w:pStyle w:val="TOCManual"/>
        <w:tabs>
          <w:tab w:pos="9071" w:val="left"/>
        </w:tabs>
        <w:spacing w:after="30"/>
        <w:ind w:left="0" w:right="0"/>
      </w:pPr>
      <w:r>
        <w:rPr>
          <w:b/>
          <w:color w:val="3D1F56"/>
        </w:rPr>
        <w:t>26. Irányadó jog, jogvita és záró rendelkezések</w:t>
      </w:r>
      <w:r>
        <w:tab/>
        <w:t>14</w:t>
      </w:r>
    </w:p>
    <w:p>
      <w:pPr>
        <w:pStyle w:val="TOCManual"/>
        <w:tabs>
          <w:tab w:pos="9071" w:val="left"/>
        </w:tabs>
        <w:spacing w:after="30"/>
        <w:ind w:left="0" w:right="0"/>
      </w:pPr>
      <w:r>
        <w:rPr>
          <w:b/>
          <w:color w:val="3D1F56"/>
        </w:rPr>
        <w:t>M1. melléklet – Szolgáltatási csomagok és díjak</w:t>
      </w:r>
      <w:r>
        <w:tab/>
        <w:t>15</w:t>
      </w:r>
    </w:p>
    <w:p>
      <w:pPr>
        <w:pStyle w:val="TOCManual"/>
        <w:tabs>
          <w:tab w:pos="9071" w:val="left"/>
        </w:tabs>
        <w:spacing w:after="30"/>
        <w:ind w:left="0" w:right="0"/>
      </w:pPr>
      <w:r>
        <w:rPr>
          <w:b/>
          <w:color w:val="3D1F56"/>
        </w:rPr>
        <w:t>M2. melléklet – Az adatfeldolgozás részletes leírása</w:t>
      </w:r>
      <w:r>
        <w:tab/>
        <w:t>16</w:t>
      </w:r>
    </w:p>
    <w:p>
      <w:pPr>
        <w:pStyle w:val="TOCManual"/>
        <w:tabs>
          <w:tab w:pos="9071" w:val="left"/>
        </w:tabs>
        <w:spacing w:after="30"/>
        <w:ind w:left="0" w:right="0"/>
      </w:pPr>
      <w:r>
        <w:rPr>
          <w:b/>
          <w:color w:val="3D1F56"/>
        </w:rPr>
        <w:t>M3. melléklet – Technikai és szervezési intézkedések, aladatfeldolgozók</w:t>
      </w:r>
      <w:r>
        <w:tab/>
        <w:t>17</w:t>
      </w:r>
    </w:p>
    <w:p>
      <w:pPr>
        <w:pStyle w:val="TOCManual"/>
        <w:tabs>
          <w:tab w:pos="9071" w:val="left"/>
        </w:tabs>
        <w:spacing w:after="30"/>
        <w:ind w:left="0" w:right="0"/>
      </w:pPr>
      <w:r>
        <w:rPr>
          <w:b/>
          <w:color w:val="3D1F56"/>
        </w:rPr>
        <w:t>M4. melléklet – Elektronikus elfogadó nyilatkozat</w:t>
      </w:r>
      <w:r>
        <w:tab/>
        <w:t>18</w:t>
      </w:r>
    </w:p>
    <w:p>
      <w:r>
        <w:br w:type="page"/>
      </w:r>
    </w:p>
    <w:p>
      <w:pPr>
        <w:pStyle w:val="Heading1"/>
        <w:keepNext/>
        <w:keepNext/>
      </w:pPr>
      <w:r>
        <w:t>1. A Szolgáltató adatai, az ÁSZF hatálya és a szerződés jogi jellege</w:t>
      </w:r>
    </w:p>
    <w:p>
      <w:pPr>
        <w:spacing w:after="90" w:line="252" w:lineRule="auto"/>
        <w:keepLines/>
      </w:pPr>
      <w:r>
        <w:t>1.1. A Szolgáltató neve: Dévényi Tamás egyéni vállalkozó, DevenIT kereskedelmi megjelöléssel (a továbbiakban: „Szolgáltató” vagy „DevenIT”).</w:t>
      </w:r>
    </w:p>
    <w:tbl>
      <w:tblPr>
        <w:tblW w:type="auto" w:w="0"/>
        <w:jc w:val="center"/>
        <w:tblLayout w:type="fixed"/>
        <w:tblLook w:firstColumn="1" w:firstRow="1" w:lastColumn="0" w:lastRow="0" w:noHBand="0" w:noVBand="1" w:val="04A0"/>
      </w:tblPr>
      <w:tblGrid>
        <w:gridCol w:w="4961"/>
        <w:gridCol w:w="4961"/>
      </w:tblGrid>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Székhely és levelezési cím</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1119 Budapest, Etele út 4. 9. emelet 29. ajtó</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Adószám</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92050048-1-43</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Egyéni vállalkozói nyilvántartási szám</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62301994</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Nyilvántartást vezető szerv</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Nemzeti Adó- és Vámhivatal</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Elektronikus levelezési és ügyfélszolgálati cím</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hello@devenit.hu</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Telefonszám</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+36 30 212 1654</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Honlap</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https://devenit.hu</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ÁSZF állandó elérhetősége</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7"/>
              </w:rPr>
              <w:t>https://devenit.hu/idopontfoglalo/aszf</w:t>
            </w:r>
          </w:p>
        </w:tc>
      </w:tr>
      <w:tr>
        <w:trPr>
          <w:cantSplit/>
        </w:trPr>
        <w:tc>
          <w:tcPr>
            <w:tcW w:type="dxa" w:w="3515"/>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7F2EF"/>
          </w:tcPr>
          <w:p>
            <w:pPr>
              <w:spacing w:after="0" w:before="0" w:line="240" w:lineRule="auto"/>
            </w:pPr>
            <w:r>
              <w:rPr>
                <w:rFonts w:ascii="Arial" w:hAnsi="Arial"/>
                <w:b/>
                <w:color w:val="1F1F1F"/>
                <w:sz w:val="17"/>
              </w:rPr>
              <w:t>Támogatási és hibabejelentő felület</w:t>
            </w:r>
          </w:p>
        </w:tc>
        <w:tc>
          <w:tcPr>
            <w:tcW w:type="dxa" w:w="566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7"/>
              </w:rPr>
              <w:t>https://devenit.hu/idopontfoglalo/tamogatas</w:t>
            </w:r>
          </w:p>
        </w:tc>
      </w:tr>
    </w:tbl>
    <w:p>
      <w:pPr>
        <w:spacing w:after="90" w:line="252" w:lineRule="auto"/>
        <w:keepLines/>
      </w:pPr>
      <w:r>
        <w:t>1.2. A jelen ÁSZF a Szolgáltató által interneten keresztül, előfizetéses szoftverszolgáltatásként biztosított DevenIT időpontfoglaló rendszer, a kapcsolódó adminisztrációs felület, tárhelyi üzemeltetés, karbantartás, frissítés, támogatás és adatfeldolgozás igénybevételének általános feltételeit határozza meg.</w:t>
      </w:r>
    </w:p>
    <w:p>
      <w:pPr>
        <w:spacing w:after="90" w:line="252" w:lineRule="auto"/>
        <w:keepLines/>
      </w:pPr>
      <w:r>
        <w:t>1.3. A Szolgáltatást kizárólag olyan egyéni vállalkozó, gazdasági társaság, jogi személy vagy más szervezet veheti igénybe, amely a szerződést önálló foglalkozása, üzleti, gazdasági, szakmai vagy szervezeti tevékenysége körében köti meg. A Szolgáltató fogyasztóval nem köt előfizetési szerződést. Az Előfizető az ÁSZF elfogadásával kijelenti, hogy nem minősül fogyasztónak.</w:t>
      </w:r>
    </w:p>
    <w:p>
      <w:pPr>
        <w:spacing w:after="90" w:line="252" w:lineRule="auto"/>
        <w:keepLines/>
      </w:pPr>
      <w:r>
        <w:t>1.4. A jelen ÁSZF elektronikus formában, folyamatosan elérhető, megjeleníthető, letölthető és tartósan megőrizhető az 1.1. pontban megjelölt internetes címen. A Szolgáltató a korábbi ÁSZF-változatokat és azok hatályossági időszakát elektronikus formában megőrzi.</w:t>
      </w:r>
    </w:p>
    <w:p>
      <w:pPr>
        <w:spacing w:after="90" w:line="252" w:lineRule="auto"/>
        <w:keepLines/>
      </w:pPr>
      <w:r>
        <w:t>1.5. A jelen ÁSZF, az elektronikus megrendelés, a Szolgáltató aktiválási vagy megrendelési visszaigazolása, továbbá az esetleges egyedi írásbeli feltételek együttesen alkotják a felek közötti szerződést. Ellentmondás esetén az egyedi visszaigazolás vagy egyedi szerződés kizárólag az abban kifejezetten szabályozott kérdésben elsőbbséget élvez; személyes adatok adatfeldolgozására vonatkozó eltérés esetén a 16–19. fejezet és az M2–M3. melléklet rendelkezései irányadók.</w:t>
      </w:r>
    </w:p>
    <w:p>
      <w:pPr>
        <w:spacing w:after="90" w:line="252" w:lineRule="auto"/>
        <w:keepLines/>
      </w:pPr>
      <w:r>
        <w:t>1.6. A Szolgáltatás nem minősül egyedi szoftverfejlesztési projektnek, forráskód-értékesítésnek, tárhelybérleti jogviszonynak, pénzforgalmi, számviteli, egészségügyi, jogi, pénzügyi vagy hatósági nyilvántartási szolgáltatásnak. Egyedi fejlesztés, adatimport, migráció, oktatás, helyszíni közreműködés vagy külön integráció kizárólag külön elektronikus megrendelés alapján nyújtható.</w:t>
      </w:r>
    </w:p>
    <w:p>
      <w:pPr>
        <w:spacing w:after="90" w:line="252" w:lineRule="auto"/>
        <w:keepLines/>
      </w:pPr>
      <w:r>
        <w:t>1.7. A szerződés nyelve magyar. A Szolgáltató nem veti alá magát külön magatartási kódex rendelkezéseinek.</w:t>
      </w:r>
    </w:p>
    <w:p>
      <w:pPr>
        <w:pStyle w:val="Heading1"/>
        <w:keepNext/>
        <w:keepNext/>
      </w:pPr>
      <w:r>
        <w:t>2. Fogalommeghatározások</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Fogalom</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Meghatározás</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ÁSZF</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jelen Általános Szerződési Feltételek mindenkor hatályos változata.</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Előfizető</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Szolgáltatást gazdasági, szakmai vagy szervezeti célból megrendelő, fogyasztónak nem minősülő vállalkozás vagy szervezet.</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Szolgáltatás</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DevenIT időpontfoglaló webalkalmazás, a nyilvános foglalási és adminisztrációs felület, valamint a kapcsolódó üzemeltetési, frissítési, támogatási és adatfeldolgozási szolgáltatások.</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Fiók</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Előfizetőhöz rendelt, a Szolgáltatás használatát lehetővé tevő elektronikus ügyfélfiók.</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Fő adminfiók</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Előfizető elsődleges, teljes jogosultságú adminisztrátori fiókja, amely a további felhasználókat, munkatársakat, telephelyeket és beállításokat kezeli.</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Jogosult felhasználó</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Előfizető által engedélyezett olyan természetes személy, aki a Szolgáltatás adminisztrációs vagy munkatársi felületéhez hozzáfér.</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Foglaló személy</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Előfizető ügyfele, vendége vagy érdeklődője, aki a nyilvános foglalási felületen adatot ad meg, időpontot foglal vagy más műveletet kezdeményez.</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Ügyféladat</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Minden adat és tartalom, amelyet az Előfizető, Jogosult felhasználó vagy Foglaló személy a Szolgáltatásba bevisz, illetve amely az Előfizető üzleti folyamatához kapcsolódóan a Szolgáltatás használata során keletkezik.</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Szolgáltatási csomag</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M1. mellékletben meghatározott Egyéni, Csapat vagy Üzlet előfizetési konstrukció.</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Előfizetési időszak</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díjfizetéssel előre rendezett, főszabály szerint egy hónapos szolgáltatási időszak.</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Megújulási nap</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első sikeres fizetés naptári napjának megfelelő, havonta ismétlődő nap; ha az adott hónapban ilyen nap nincs, az adott hónap utolsó napja.</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Próbaidő</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Egyéni csomag egyszeri, tizennégy napos, díjmentes kipróbálási időszaka.</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Külső szolgáltatás</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Szolgáltatáshoz kapcsolható, harmadik személy által biztosított fizetési, számlázási, e-mail-, SMS-, naptár-, tárhely- vagy más szolgáltatás.</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Hibabejelentő felület</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https://devenit.hu/idopontfoglalo/tamogatas oldalon elérhető elektronikus támogatási és bejelentési felület.</w:t>
            </w:r>
          </w:p>
        </w:tc>
      </w:tr>
      <w:tr>
        <w:trPr>
          <w:cantSplit/>
        </w:trPr>
        <w:tc>
          <w:tcPr>
            <w:tcW w:type="dxa" w:w="2324"/>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Munkanap</w:t>
            </w:r>
          </w:p>
        </w:tc>
        <w:tc>
          <w:tcPr>
            <w:tcW w:type="dxa" w:w="6860"/>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szombat, vasárnap és magyarországi munkaszüneti nap kivételével minden naptári nap.</w:t>
            </w:r>
          </w:p>
        </w:tc>
      </w:tr>
    </w:tbl>
    <w:p>
      <w:pPr>
        <w:pStyle w:val="Heading1"/>
        <w:keepNext/>
        <w:keepNext/>
      </w:pPr>
      <w:r>
        <w:t>3. A szerződés létrejötte és elektronikus elfogadása</w:t>
      </w:r>
    </w:p>
    <w:p>
      <w:pPr>
        <w:spacing w:after="90" w:line="252" w:lineRule="auto"/>
        <w:keepLines/>
      </w:pPr>
      <w:r>
        <w:t>3.1. A Szolgáltató az online megrendelés elküldését megelőzően lehetővé teszi, hogy az Előfizető a jelen ÁSZF-et és az alkalmazandó díjakat megismerje, letöltse, tartósan megőrizze, továbbá a megadott adatait ellenőrizze és kijavítsa.</w:t>
      </w:r>
    </w:p>
    <w:p>
      <w:pPr>
        <w:spacing w:after="90" w:line="252" w:lineRule="auto"/>
        <w:keepLines/>
      </w:pPr>
      <w:r>
        <w:t>3.2. Online megrendelés esetén az Előfizető a jelöletlen jelölőnégyzet kiválasztásával elfogadja a jelen ÁSZF-et, és külön jelölőnégyzettel vagy azzal egyenértékű egyértelmű elektronikus nyilatkozattal kifejezetten elfogadja a Kiemelt rendelkezéseket. Az elfogadásnak a fizetési kötelezettséget keletkeztető megrendelés elküldését megelőzően kell megtörténnie.</w:t>
      </w:r>
    </w:p>
    <w:p>
      <w:pPr>
        <w:spacing w:after="90" w:line="252" w:lineRule="auto"/>
        <w:keepLines/>
      </w:pPr>
      <w:r>
        <w:t>3.3. Az online megrendelés megérkezését a Szolgáltató elektronikus úton haladéktalanul, de legkésőbb negyvennyolc órán belül visszaigazolja. A visszaigazolás tartalmazza vagy hozzáférhetővé teszi legalább az Előfizető azonosító adatait, a választott csomagot, a fizetendő díjat, az Előfizetési időszak kezdetét, a Megújulási napot, az ÁSZF verzióját és elérhetőségét.</w:t>
      </w:r>
    </w:p>
    <w:p>
      <w:pPr>
        <w:spacing w:after="90" w:line="252" w:lineRule="auto"/>
        <w:keepLines/>
      </w:pPr>
      <w:r>
        <w:t>3.4. Online bankkártyás fizetés esetén a rendes előfizetési szerződés az első díj sikeres teljesítésével és a Szolgáltató visszaigazolásával; banki átutalás esetén a díj Szolgáltató bankszámláján történő jóváírásával és a fiók aktiválásával jön létre.</w:t>
      </w:r>
    </w:p>
    <w:p>
      <w:pPr>
        <w:spacing w:after="90" w:line="252" w:lineRule="auto"/>
        <w:keepLines/>
      </w:pPr>
      <w:r>
        <w:t>3.5. Egyedi promóciós, pilot- vagy más közvetlen megkeresés esetén a szerződés az Előfizető azonosítható elektronikus nyilatkozatával, a Szolgáltató visszaigazolásával és a fiók hozzáférési adatainak átadásával jön létre. A kizárólag elektronikus levelezés vagy azzal egyenértékű egyéni kommunikációs eszköz útján létrejövő szerződésre az elektronikus kereskedelemre vonatkozó jogszabályok e szerződéskötési módhoz kapcsolódó kivételi rendelkezései irányadók.</w:t>
      </w:r>
    </w:p>
    <w:p>
      <w:pPr>
        <w:spacing w:after="90" w:line="252" w:lineRule="auto"/>
        <w:keepLines/>
      </w:pPr>
      <w:r>
        <w:t>3.6. A jelen ÁSZF alapján létrejövő szerződés magyar nyelven, elektronikus úton jön létre, és a felek eltérő, kifejezett egyedi megállapodása hiányában nem minősül írásba foglalt szerződésnek. A Szolgáltató a szerződést külön, mindkét fél által aláírt szerződéses okiratként nem iktatja. A Szolgáltató elektronikusan nyilvántartja az elfogadás időpontját, az elfogadott ÁSZF verzióját, az Előfizető azonosító és számlázási adatait, a választott csomagot és az elfogadáshoz kapcsolódó, bizonyítás céljára szükséges technikai adatokat.</w:t>
      </w:r>
    </w:p>
    <w:p>
      <w:pPr>
        <w:spacing w:after="90" w:line="252" w:lineRule="auto"/>
        <w:keepLines/>
      </w:pPr>
      <w:r>
        <w:t>3.7. Az Előfizető nevében eljáró személy kijelenti és szavatolja, hogy az Előfizető képviseletére, illetve a szerződés megkötésére megfelelő jogosultsággal rendelkezik. A Szolgáltató a képviseleti jogosultságot főszabály szerint nem köteles vizsgálni, azonban kétség esetén igazolást kérhet, az aktiválást megtagadhatja vagy felfüggesztheti.</w:t>
      </w:r>
    </w:p>
    <w:p>
      <w:pPr>
        <w:spacing w:after="90" w:line="252" w:lineRule="auto"/>
        <w:keepLines/>
      </w:pPr>
      <w:r>
        <w:t>3.8. A regisztráció vagy megrendelés elküldése önmagában nem keletkeztet kötelezettséget a Szolgáltató oldalán a fiók aktiválására. A Szolgáltató megtagadhatja vagy feltételhez kötheti az aktiválást, ha a megadott adatok hiányosak, valótlanok vagy megtévesztők; a képviseleti jogosultság kétséges; korábbi tartozás vagy szerződésszegés áll fenn; a használat jogi, adatvédelmi, információbiztonsági vagy műszaki kockázatot jelent; az Előfizető tevékenysége a Szolgáltatás rendeltetésével nem egyeztethető össze; vagy a szükséges szolgáltatói kapacitás nem áll rendelkezésre.</w:t>
      </w:r>
    </w:p>
    <w:p>
      <w:pPr>
        <w:pStyle w:val="Heading1"/>
        <w:keepNext/>
        <w:keepNext/>
      </w:pPr>
      <w:r>
        <w:t>4. Regisztráció, aktiválás és próbahasználat</w:t>
      </w:r>
    </w:p>
    <w:p>
      <w:pPr>
        <w:spacing w:after="90" w:line="252" w:lineRule="auto"/>
        <w:keepLines/>
      </w:pPr>
      <w:r>
        <w:t>4.1. Az Előfizető köteles a regisztráció és a szerződés teljesítése során valós, pontos, teljes és naprakész adatokat megadni, továbbá azok változását indokolatlan késedelem nélkül, de legkésőbb tizenöt napon belül átvezetni vagy a Szolgáltatónak bejelenteni.</w:t>
      </w:r>
    </w:p>
    <w:p>
      <w:pPr>
        <w:spacing w:after="90" w:line="252" w:lineRule="auto"/>
        <w:keepLines/>
      </w:pPr>
      <w:r>
        <w:t>4.2. A Szolgáltató az Egyéni Szolgáltatási csomag tekintetében tizennégy napos Próbaidőt biztosít. A Próbaidő a fiók aktiválásának napján kezdődik, fizetési eszköz megadása nélkül vehető igénybe, és annak lejárta nem eredményez automatikus fizetési kötelezettséget vagy fizetős előfizetést.</w:t>
      </w:r>
    </w:p>
    <w:p>
      <w:pPr>
        <w:spacing w:after="90" w:line="252" w:lineRule="auto"/>
        <w:keepLines/>
      </w:pPr>
      <w:r>
        <w:t>4.3. A Próbaidő alatt az Előfizető az Egyéni csomag valamennyi, a Próbaidő kezdetekor általánosan elérhető funkciójához teljes hozzáférést kap. A külső szolgáltatói fiókot, díjfizetést, tranzakciós keretet vagy külön technikai jóváhagyást igénylő integrációk használata a külső szolgáltató feltételeihez és az Előfizető saját fiókjához kötött.</w:t>
      </w:r>
    </w:p>
    <w:p>
      <w:pPr>
        <w:spacing w:after="90" w:line="252" w:lineRule="auto"/>
        <w:keepLines/>
      </w:pPr>
      <w:r>
        <w:t>4.4. A Próbaidő vállalkozásonként vagy szervezetenként egy alkalommal vehető igénybe. A Szolgáltató a jogosultság vizsgálata során különösen az adószámot, nyilvántartási adatokat, kapcsolattartási adatokat, korábbi fiókokat és a technikai azonosítókat veheti figyelembe.</w:t>
      </w:r>
    </w:p>
    <w:p>
      <w:pPr>
        <w:spacing w:after="90" w:line="252" w:lineRule="auto"/>
        <w:keepLines/>
      </w:pPr>
      <w:r>
        <w:t>4.5. A Próbaidő ismételt, megtévesztő vagy a technikai korlátozások megkerülésével történő igénybevétele súlyos szerződésszegésnek minősül. Szándékos vagy ismételt visszaélés esetén a Szolgáltató jogosult az érintett fiókokat azonnali hatállyal megszüntetni és az Előfizetőt a Szolgáltatás későbbi igénybevételéből tartósan vagy véglegesen kizárni.</w:t>
      </w:r>
    </w:p>
    <w:p>
      <w:pPr>
        <w:spacing w:after="90" w:line="252" w:lineRule="auto"/>
        <w:keepLines/>
      </w:pPr>
      <w:r>
        <w:t>4.6. A Próbaidő lejártával a fiók inaktívvá válik. A Próbaidő alatt tárolt adatok a lejárattól számított harminc napig megőrzésre kerülnek abból a célból, hogy az Előfizető fizetős előfizetés megkötésével a Szolgáltatás használatát folytathassa. Fizetős előfizetés hiányában az adatok a harmincnapos időszak lejártát követően törölhetők; a biztonsági mentésekből történő kivezetésre a 19. fejezet irányadó.</w:t>
      </w:r>
    </w:p>
    <w:p>
      <w:pPr>
        <w:spacing w:after="90" w:line="252" w:lineRule="auto"/>
        <w:keepLines/>
      </w:pPr>
      <w:r>
        <w:t>4.7. A Próbaidő nem azonos a 8. fejezet szerinti promócióval vagy díjmentes pilot-hozzáféréssel. A Próbaidő és promóció együttes alkalmazása kizárólag a Szolgáltató kifejezett elektronikus visszaigazolása alapján lehetséges.</w:t>
      </w:r>
    </w:p>
    <w:p>
      <w:pPr>
        <w:pStyle w:val="Heading1"/>
        <w:keepNext/>
        <w:keepNext/>
      </w:pPr>
      <w:r>
        <w:t>5. A Szolgáltatás tárgya, csomagjai és kiegészítő szolgáltatásai</w:t>
      </w:r>
    </w:p>
    <w:p>
      <w:pPr>
        <w:spacing w:after="90" w:line="252" w:lineRule="auto"/>
        <w:keepLines/>
      </w:pPr>
      <w:r>
        <w:t>5.1. A Szolgáltató az Előfizető részére internetkapcsolaton keresztül elérhető időpontfoglaló rendszert biztosít, amely különösen a nyilvános foglalási felület, az adminisztrációs felület, a szolgáltatások, munkatársak, telephelyek, nyitvatartás, foglalások, bérletek, pénzügyi nyilvántartások és kapcsolódó üzleti adatok kezelésére szolgál, a mindenkor elérhető funkciók szerint.</w:t>
      </w:r>
    </w:p>
    <w:p>
      <w:pPr>
        <w:spacing w:after="90" w:line="252" w:lineRule="auto"/>
        <w:keepLines/>
      </w:pPr>
      <w:r>
        <w:t>5.2. Valamennyi Szolgáltatási csomag korlátlan számú foglalás rögzítését és a mindenkori alapfunkciók használatát tartalmazza. A csomagok közötti eltérést elsősorban a foglalható munkatársak, adminisztrátori felhasználók és telephelyek száma képezi. A csomagok díját és kapacitását az M1. melléklet tartalmazza.</w:t>
      </w:r>
    </w:p>
    <w:p>
      <w:pPr>
        <w:spacing w:after="90" w:line="252" w:lineRule="auto"/>
        <w:keepLines/>
      </w:pPr>
      <w:r>
        <w:t>5.3. Az online fizetés, online számlázás, SMS-küldés, egyes külső integrációk, egyedi fejlesztések, adatimport, migráció, oktatás, kiemelt támogatás vagy más kiegészítő szolgáltatás külön díjhoz, külső szolgáltatói előfizetéshez vagy tranzakciós költséghez köthető. Kiegészítő díj kizárólag annak előzetes közlését és az Előfizető kifejezett elektronikus megrendelését követően számítható fel.</w:t>
      </w:r>
    </w:p>
    <w:p>
      <w:pPr>
        <w:spacing w:after="90" w:line="252" w:lineRule="auto"/>
        <w:keepLines/>
      </w:pPr>
      <w:r>
        <w:t>5.4. A Szolgáltató a Szolgáltatás egyes funkcióit, integrációit vagy kiegészítő moduljait technikai, jogi, biztonsági vagy üzleti feltételek teljesítéséhez kötheti. A funkció megjelenése a felületen önmagában nem keletkeztet korlátlan vagy díjmentes használati jogosultságot.</w:t>
      </w:r>
    </w:p>
    <w:p>
      <w:pPr>
        <w:spacing w:after="90" w:line="252" w:lineRule="auto"/>
        <w:keepLines/>
      </w:pPr>
      <w:r>
        <w:t>5.5. A Szolgáltatás standard előfizetéséhez egyszeri bevezetési vagy telepítési díj nem kapcsolódik. Az Előfizető egyedi igénye alapján végzett, az általános szolgáltatáson túlmutató munka külön díjazású lehet.</w:t>
      </w:r>
    </w:p>
    <w:p>
      <w:pPr>
        <w:pStyle w:val="Heading1"/>
        <w:keepNext/>
        <w:keepNext/>
      </w:pPr>
      <w:r>
        <w:t>6. Díjak, fizetés, automatikus megújulás és késedelem</w:t>
      </w:r>
    </w:p>
    <w:p>
      <w:pPr>
        <w:spacing w:after="90" w:line="252" w:lineRule="auto"/>
        <w:keepLines/>
      </w:pPr>
      <w:r>
        <w:t>6.1. Az előfizetési díj Előfizetési időszakonként, előre esedékes. A jelen ÁSZF hatálybalépésekor alkalmazandó, az Előfizető által fizetendő havi díjakat az M1. melléklet tartalmazza. A Szolgáltató a jelen ÁSZF hatálybalépésekor alanyi adómentes; az adózási jogállás vagy kötelező közteher megváltozása esetén a díjakra a hatályos jogszabályok szerint alkalmazandó adó vagy közteher felszámítható.</w:t>
      </w:r>
    </w:p>
    <w:p>
      <w:pPr>
        <w:spacing w:after="90" w:line="252" w:lineRule="auto"/>
        <w:keepLines/>
      </w:pPr>
      <w:r>
        <w:t>6.2. Online bankkártyás fizetés esetén az első teljes havi díj a megrendeléskor kerül terhelésre. Az első Előfizetési időszak a sikeres fizetés és aktiválás napján kezdődik, és a következő Megújulási napot közvetlenül megelőző nap végéig tart. A díj naptári hónaphoz nem igazodik, és tört havi elszámolásra nem kerül sor.</w:t>
      </w:r>
    </w:p>
    <w:p>
      <w:pPr>
        <w:spacing w:after="90" w:line="252" w:lineRule="auto"/>
        <w:keepLines/>
      </w:pPr>
      <w:r>
        <w:t>6.3. Az online bankkártyás előfizetés havonta automatikusan megújul. A következő teljes havi díj a Megújulási napon kerül terhelésre. Ha az adott hónapban az első fizetés naptári napjának megfelelő nap nincs, a terhelés az adott hónap utolsó napján esedékes.</w:t>
      </w:r>
    </w:p>
    <w:p>
      <w:pPr>
        <w:spacing w:after="90" w:line="252" w:lineRule="auto"/>
        <w:keepLines/>
      </w:pPr>
      <w:r>
        <w:t>6.4. A fizetési mód megadásával az Előfizető kijelenti, hogy annak használatára jogosult, és felhatalmazza a mindenkori fizetési szolgáltatót, valamint a Szolgáltatót az ismétlődő előfizetési díjak terhelésének kezdeményezésére. A Szolgáltató teljes bankkártyaadatot nem tárol; az ilyen adatokat a fizetési szolgáltató saját feltételei szerint kezeli.</w:t>
      </w:r>
    </w:p>
    <w:p>
      <w:pPr>
        <w:spacing w:after="90" w:line="252" w:lineRule="auto"/>
        <w:keepLines/>
      </w:pPr>
      <w:r>
        <w:t>6.5. Banki átutalás esetén a fiók a díj Szolgáltató bankszámláján történő jóváírását követően aktiválható. A további Előfizetési időszakok díját az Előfizető a Szolgáltató által kiállított számla vagy díjbekérő alapján, legkésőbb a Megújulási napig köteles megfizetni.</w:t>
      </w:r>
    </w:p>
    <w:p>
      <w:pPr>
        <w:spacing w:after="90" w:line="252" w:lineRule="auto"/>
        <w:keepLines/>
      </w:pPr>
      <w:r>
        <w:t>6.6. Az Előfizető az automatikus megújulást bármikor lemondhatja. A lemondás az aktuális, már kifizetett Előfizetési időszak végére hatályos; a Szolgáltatás addig használható, és további díj nem kerül terhelésre. A már megkezdett Előfizetési időszak díja vagy annak időarányos része nem téríthető vissza, kivéve téves vagy többszörös terhelés, a Szolgáltató kifejezett döntése, illetve kötelező jogszabályi rendelkezés esetén.</w:t>
      </w:r>
    </w:p>
    <w:p>
      <w:pPr>
        <w:spacing w:after="90" w:line="252" w:lineRule="auto"/>
        <w:keepLines/>
      </w:pPr>
      <w:r>
        <w:t>6.7. Sikertelen bankkártyaterhelés vagy lejárt átutalási határidő esetén a Szolgáltató elektronikus fizetési felszólítást küld, és nyolc naptári nap póthatáridőt biztosít. A póthatáridő alatt a Szolgáltatás főszabály szerint változatlanul működik. A póthatáridő eredménytelen elteltével a Szolgáltató a hozzáférést felfüggesztheti; harminc napot meghaladó fizetési késedelem esetén a szerződést azonnali hatállyal felmondhatja.</w:t>
      </w:r>
    </w:p>
    <w:p>
      <w:pPr>
        <w:spacing w:after="90" w:line="252" w:lineRule="auto"/>
        <w:keepLines/>
      </w:pPr>
      <w:r>
        <w:t>6.8. Fizetési késedelem esetén a Szolgáltató jogosult a Polgári Törvénykönyv szerinti, vállalkozások közötti késedelmi kamatot, továbbá a behajtási költségátalányról szóló jogszabály szerinti negyven eurónak megfelelő forintösszegű behajtási költségátalányt és az ezt meghaladó, igazolt behajtási költségeit érvényesíteni.</w:t>
      </w:r>
    </w:p>
    <w:p>
      <w:pPr>
        <w:spacing w:after="90" w:line="252" w:lineRule="auto"/>
        <w:keepLines/>
      </w:pPr>
      <w:r>
        <w:t>6.9. Jogosulatlan visszaterhelés, chargeback, a teljesített díj visszavonásának alaptalan kezdeményezése vagy fizetési visszaélés esetén a Szolgáltató a hozzáférést az ügy kivizsgálásának és a követelés rendezésének időtartamára azonnal felfüggesztheti.</w:t>
      </w:r>
    </w:p>
    <w:p>
      <w:pPr>
        <w:pStyle w:val="Heading1"/>
        <w:keepNext/>
        <w:keepNext/>
      </w:pPr>
      <w:r>
        <w:t>7. Csomagváltás, kapacitáscsökkentés és hozzáférések</w:t>
      </w:r>
    </w:p>
    <w:p>
      <w:pPr>
        <w:spacing w:after="90" w:line="252" w:lineRule="auto"/>
        <w:keepLines/>
      </w:pPr>
      <w:r>
        <w:t>7.1. Az Előfizető magasabb csomagra azonnali hatállyal válthat. A Szolgáltató a folyamatban lévő Előfizetési időszak hátralévő részére eső időarányos díjkülönbözetet felszámíthatja. Alacsonyabb csomagra váltás a következő Megújulási napon lép hatályba.</w:t>
      </w:r>
    </w:p>
    <w:p>
      <w:pPr>
        <w:spacing w:after="90" w:line="252" w:lineRule="auto"/>
        <w:keepLines/>
      </w:pPr>
      <w:r>
        <w:t>7.2. Alacsonyabb csomagra váltáskor a Fő adminfiók aktív marad. A kisebb csomag adminisztrátori keretét meghaladó további adminfiókok inaktívvá válnak, azonban az azonosító adataik, korábbi műveleteik és a hozzájuk kapcsolódó naplóbejegyzések megmaradnak. Későbbi csomagbővítés esetén az inaktív fiókok újraaktiválhatók.</w:t>
      </w:r>
    </w:p>
    <w:p>
      <w:pPr>
        <w:spacing w:after="90" w:line="252" w:lineRule="auto"/>
        <w:keepLines/>
      </w:pPr>
      <w:r>
        <w:t>7.3. Ha az Előfizető az alacsonyabb csomag hatálybalépéséig nem jelöli meg, hogy mely munkatársak és telephelyek maradjanak aktívak, a rendszer a legrégebben létrehozott munkatársi és telephelyi rekordokat tartja aktív állapotban a csomag kapacitásáig, a többletet pedig inaktívvá teszi. Az inaktiválás a korábbi napló- és foglalási adatok megőrzését nem érinti; új foglalás az inaktív munkatárshoz vagy telephelyhez nem rögzíthető.</w:t>
      </w:r>
    </w:p>
    <w:p>
      <w:pPr>
        <w:spacing w:after="90" w:line="252" w:lineRule="auto"/>
        <w:keepLines/>
      </w:pPr>
      <w:r>
        <w:t>7.4. A kapacitáskorlát túllépése nem keletkeztet automatikus jogosultságot további felhasználó, munkatárs vagy telephely használatára. A Szolgáltató a túllépés megszüntetésére határidőt adhat, magasabb csomagra válthatja az Előfizetőt annak kifejezett elfogadása esetén, vagy a többlet hozzáféréseket korlátozhatja.</w:t>
      </w:r>
    </w:p>
    <w:p>
      <w:pPr>
        <w:pStyle w:val="Heading1"/>
        <w:keepNext/>
        <w:keepNext/>
      </w:pPr>
      <w:r>
        <w:t>8. Promóciók, kedvezmények és díjmentes hozzáférések</w:t>
      </w:r>
    </w:p>
    <w:p>
      <w:pPr>
        <w:pStyle w:val="Heading2"/>
        <w:keepNext/>
        <w:keepNext/>
      </w:pPr>
      <w:r>
        <w:t>8.1. Az első tíz Előfizető részére biztosított harminc százalékos kedvezmény</w:t>
      </w:r>
    </w:p>
    <w:p>
      <w:pPr>
        <w:spacing w:after="90" w:line="252" w:lineRule="auto"/>
        <w:keepLines/>
      </w:pPr>
      <w:r>
        <w:t>8.1.1. A Szolgáltató promóció keretében legfeljebb tíz, a promócióra kifejezetten visszaigazolt, fizetős Előfizető részére, a rendelkezésre álló promóciós helyek függvényében, a választott Szolgáltatási csomag mindenkori listaárából harminc százalék kedvezményt biztosít.</w:t>
      </w:r>
    </w:p>
    <w:p>
      <w:pPr>
        <w:spacing w:after="90" w:line="252" w:lineRule="auto"/>
        <w:keepLines/>
      </w:pPr>
      <w:r>
        <w:t>8.1.2. A promóciós ajánlat legkésőbb 2026. augusztus 31. napjáig, illetve a tíz promóciós hely betöltéséig érhető el, attól függően, hogy melyik esemény következik be korábban. A promóciós jogosultság kizárólag a Szolgáltató egyedi elektronikus visszaigazolásával jön létre; a promóció elérhetősége nem alanyi jog.</w:t>
      </w:r>
    </w:p>
    <w:p>
      <w:pPr>
        <w:spacing w:after="90" w:line="252" w:lineRule="auto"/>
        <w:keepLines/>
      </w:pPr>
      <w:r>
        <w:t>8.1.3. A kedvezmény az előfizetés megszakítás nélküli fennállásáig határozatlan időre megmarad, a mindenkori aktuális listaárból számítandó, és csomagváltás esetén is alkalmazandó. A kedvezmény az előfizetés megszűnésével véglegesen megszűnik, más vállalkozásra vagy szervezetre nem ruházható át, és későbbi újra-előfizetés esetén nem áll vissza.</w:t>
      </w:r>
    </w:p>
    <w:p>
      <w:pPr>
        <w:spacing w:after="90" w:line="252" w:lineRule="auto"/>
        <w:keepLines/>
      </w:pPr>
      <w:r>
        <w:t>8.1.4. A kedvezmény kizárólag a választott csomag ismétlődő havidíjára vonatkozik. Egyedi fejlesztésre, adatimportálásra, migrációra, integrációra, külső szolgáltatói díjra, tranzakciós költségre vagy más kiegészítő szolgáltatásra nem alkalmazandó, és más kedvezménnyel csak a Szolgáltató kifejezett engedélyével vonható össze.</w:t>
      </w:r>
    </w:p>
    <w:p>
      <w:pPr>
        <w:pStyle w:val="Heading2"/>
        <w:keepNext/>
        <w:keepNext/>
      </w:pPr>
      <w:r>
        <w:t>8.2. Díjmentes pilot- vagy teszthozzáférés</w:t>
      </w:r>
    </w:p>
    <w:p>
      <w:pPr>
        <w:spacing w:after="90" w:line="252" w:lineRule="auto"/>
        <w:keepLines/>
      </w:pPr>
      <w:r>
        <w:t>8.2.1. A Szolgáltató egyedi döntés alapján díjmentes pilot- vagy teszthozzáférést biztosíthat. A hozzáférés terjedelmét és esetleges időtartamát az egyedi elektronikus visszaigazolás határozza meg; a szolgáltatás kezdőnapja a fiók hozzáférési adatainak átadása.</w:t>
      </w:r>
    </w:p>
    <w:p>
      <w:pPr>
        <w:spacing w:after="90" w:line="252" w:lineRule="auto"/>
        <w:keepLines/>
      </w:pPr>
      <w:r>
        <w:t>8.2.2. A díjmentes hozzáférést bármely fél bármikor, indokolás nélkül, azonnali hatállyal megszüntetheti. A díjmentes hozzáférés nem alakul át automatikusan fizetős előfizetéssé; fizetős előfizetés kizárólag új, kifejezett elektronikus elfogadással és díjfizetéssel jöhet létre.</w:t>
      </w:r>
    </w:p>
    <w:p>
      <w:pPr>
        <w:pStyle w:val="Heading1"/>
        <w:keepNext/>
        <w:keepNext/>
      </w:pPr>
      <w:r>
        <w:t>9. Az Előfizető és a Foglaló személy közötti jogviszony</w:t>
      </w:r>
    </w:p>
    <w:p>
      <w:pPr>
        <w:spacing w:after="90" w:line="252" w:lineRule="auto"/>
        <w:keepLines/>
      </w:pPr>
      <w:r>
        <w:t>9.1. A Foglaló személy és az Előfizető között létrejövő szolgáltatási, megrendelési, foglalási vagy fizetési jogviszonynak a Szolgáltató nem alanya. A Szolgáltató kizárólag a foglalás, kommunikáció, fizetés és számlázás technikai támogatására alkalmas informatikai felületet biztosít.</w:t>
      </w:r>
    </w:p>
    <w:p>
      <w:pPr>
        <w:spacing w:after="90" w:line="252" w:lineRule="auto"/>
        <w:keepLines/>
      </w:pPr>
      <w:r>
        <w:t>9.2. Az Előfizető kizárólagosan felel az általa kínált szolgáltatás jogszerűségéért, teljesítéséért, minőségéért, áráért, elérhetőségéért, szakmai tartalmáért, lemondási, módosítási és visszatérítési feltételeiért, a Foglaló személyek tájékoztatásáért, továbbá a számla- és bizonylatkiállításért, az adókötelezettségek teljesítéséért és a fogyasztói, szavatossági vagy más igények rendezéséért.</w:t>
      </w:r>
    </w:p>
    <w:p>
      <w:pPr>
        <w:spacing w:after="90" w:line="252" w:lineRule="auto"/>
        <w:keepLines/>
      </w:pPr>
      <w:r>
        <w:t>9.3. A Szolgáltató nem minősül az Előfizető közvetítőjének, kereskedelmi képviselőjének, fizetési vagy pénzforgalmi szolgáltatójának, letétkezelőjének, az Előfizető által nyújtott szolgáltatás értékesítőjének vagy teljesítési segédjének. A Foglaló személy által az Előfizetőnek fizetett összeg nem a Szolgáltató bevétele, és a Szolgáltató ilyen összeget az Előfizető javára nem kezel vagy őriz.</w:t>
      </w:r>
    </w:p>
    <w:p>
      <w:pPr>
        <w:spacing w:after="90" w:line="252" w:lineRule="auto"/>
        <w:keepLines/>
      </w:pPr>
      <w:r>
        <w:t>9.4. Az Előfizető felel azért, hogy a Szolgáltatásban feltüntetett nyitvatartás, szabad időpontok, munkatársi elérhetőségek, szolgáltatások, árak, időtartamok, telephelyek és más üzleti információk valósak, pontosak és naprakészek legyenek.</w:t>
      </w:r>
    </w:p>
    <w:p>
      <w:pPr>
        <w:spacing w:after="90" w:line="252" w:lineRule="auto"/>
        <w:keepLines/>
      </w:pPr>
      <w:r>
        <w:t>9.5. Ha egy visszaigazolt foglalás teljesítése nem lehetséges, vagy annak időpontja, helye, díja vagy más lényeges feltétele megváltozik, az Előfizető köteles erről a Foglaló személyt megfelelő időben közvetlenül tájékoztatni és a szükséges intézkedést megtenni. E kötelezettség elmulasztásából eredő igényekért a Szolgáltató nem felel.</w:t>
      </w:r>
    </w:p>
    <w:p>
      <w:pPr>
        <w:pStyle w:val="Heading1"/>
        <w:keepNext/>
        <w:keepNext/>
      </w:pPr>
      <w:r>
        <w:t>10. Az Előfizető kötelezettségei és jogi megfelelése</w:t>
      </w:r>
    </w:p>
    <w:p>
      <w:pPr>
        <w:spacing w:after="90" w:line="252" w:lineRule="auto"/>
        <w:keepLines/>
      </w:pPr>
      <w:r>
        <w:t>10.1. Az Előfizető köteles a Szolgáltatást és a saját üzleti tevékenységét a rá irányadó magyar és uniós jogszabályokkal, hatósági előírásokkal, szakmai szabályokkal és harmadik személyek jogaival összhangban működtetni.</w:t>
      </w:r>
    </w:p>
    <w:p>
      <w:pPr>
        <w:spacing w:after="90" w:line="252" w:lineRule="auto"/>
        <w:keepLines/>
      </w:pPr>
      <w:r>
        <w:t>10.2. Az Előfizető a nyilvános foglalási felület éles használata előtt köteles a Foglaló személyek részére hozzáférhetővé tenni legalább a saját adatkezelési tájékoztatóját, foglalási és lemondási feltételeit, továbbá online fizetés alkalmazása esetén a fizetési és visszatérítési szabályait, valamint minden, a tevékenységére irányadó fogyasztói vagy más kötelező tájékoztatást.</w:t>
      </w:r>
    </w:p>
    <w:p>
      <w:pPr>
        <w:spacing w:after="90" w:line="252" w:lineRule="auto"/>
        <w:keepLines/>
      </w:pPr>
      <w:r>
        <w:t>10.3. A Szolgáltató technikai mezőt, mintaszöveget vagy szerkeszthető sablont biztosíthat a 10.2. pont szerinti dokumentumokhoz, azonban az ilyen minta nem minősül jogi tanácsadásnak, nem garantálja az Előfizető egyedi tevékenységének jogszerűségét, és nem mentesíti az Előfizetőt saját megfelelési kötelezettségei alól.</w:t>
      </w:r>
    </w:p>
    <w:p>
      <w:pPr>
        <w:spacing w:after="90" w:line="252" w:lineRule="auto"/>
        <w:keepLines/>
      </w:pPr>
      <w:r>
        <w:t>10.4. A Szolgáltató a nyilvános foglalási, online fizetési vagy marketingfunkciót korlátozhatja, ha az Előfizető a szükséges jogi dokumentumokat, tájékoztatókat vagy hozzájárulási szövegeket nem helyezi el, azok nyilvánvalóan hiányosak, vagy használatuk a Szolgáltató számára jogi vagy adatvédelmi kockázatot jelent.</w:t>
      </w:r>
    </w:p>
    <w:p>
      <w:pPr>
        <w:spacing w:after="90" w:line="252" w:lineRule="auto"/>
        <w:keepLines/>
      </w:pPr>
      <w:r>
        <w:t>10.5. Az Előfizető köteles biztosítani, hogy rendelkezzen a saját tevékenységéhez szükséges hatósági engedélyekkel, nyilvántartásokkal, szakmai képesítésekkel, felelősségbiztosítással és más jogszabályi feltételekkel. A Szolgáltató e feltételek fennállását nem köteles ellenőrizni.</w:t>
      </w:r>
    </w:p>
    <w:p>
      <w:pPr>
        <w:spacing w:after="90" w:line="252" w:lineRule="auto"/>
        <w:keepLines/>
      </w:pPr>
      <w:r>
        <w:t>10.6. A Szolgáltatás kiskorú személy javára történő foglaláshoz is használható, azonban az Előfizető kizárólagosan felel a törvényes képviselő megfelelő tájékoztatásáért, szükséges hozzájárulásáért, a képviseleti jogosultság ellenőrzéséért és az adatkezelés jogszerűségéért. A Szolgáltató a Foglaló személy életkorát vagy képviseleti jogosultságát nem ellenőrzi.</w:t>
      </w:r>
    </w:p>
    <w:p>
      <w:pPr>
        <w:spacing w:after="90" w:line="252" w:lineRule="auto"/>
        <w:keepLines/>
      </w:pPr>
      <w:r>
        <w:t>10.7. A Szolgáltatás nem egészségügyi dokumentáció, diagnózis, lelet, TAJ-szám, személyazonosító okmány, részletes kórelőzmény vagy más különleges személyes adat rendszeres tárolására készült. Ilyen adatok kezelése kizárólag külön írásbeli megállapodás, megfelelő jogalap, szükség szerint elvégzett adatvédelmi hatásvizsgálat és a technikai alkalmasság előzetes igazolása alapján megengedett.</w:t>
      </w:r>
    </w:p>
    <w:p>
      <w:pPr>
        <w:spacing w:after="90" w:line="252" w:lineRule="auto"/>
        <w:keepLines/>
      </w:pPr>
      <w:r>
        <w:t>10.8. Az Előfizető köteles a megjegyzésmezők, egyedi űrlapok és más adatbekérési lehetőségek kialakításakor az adattakarékosság elvét alkalmazni, és nem kérhet be olyan adatot, amely a foglalás vagy saját szolgáltatása teljesítéséhez nem szükséges.</w:t>
      </w:r>
    </w:p>
    <w:p>
      <w:pPr>
        <w:pStyle w:val="Heading1"/>
        <w:keepNext/>
        <w:keepNext/>
      </w:pPr>
      <w:r>
        <w:t>11. Fiókbiztonság, tiltott használat és tartalmak</w:t>
      </w:r>
    </w:p>
    <w:p>
      <w:pPr>
        <w:spacing w:after="90" w:line="252" w:lineRule="auto"/>
        <w:keepLines/>
      </w:pPr>
      <w:r>
        <w:t>11.1. Az Előfizető felel a Jogosult felhasználók kijelöléséért, hozzáférési jogosultságaik megfelelő beállításáért, a jelszavak és eszközök biztonságáért, valamint a távozó vagy jogosultságát elvesztő személyek hozzáférésének haladéktalan megszüntetéséért.</w:t>
      </w:r>
    </w:p>
    <w:p>
      <w:pPr>
        <w:spacing w:after="90" w:line="252" w:lineRule="auto"/>
        <w:keepLines/>
      </w:pPr>
      <w:r>
        <w:t>11.2. A Jogosult felhasználói fiók más személlyel történő ellenőrizetlen megosztása tilos. Az Előfizető köteles gondoskodni arról, hogy minden felhasználó kizárólag a saját, azonosítható hozzáférését használja, kivéve a Szolgáltatás által kifejezetten támogatott közös terminál- vagy szerepköralapú megoldást.</w:t>
      </w:r>
    </w:p>
    <w:p>
      <w:pPr>
        <w:spacing w:after="90" w:line="252" w:lineRule="auto"/>
        <w:keepLines/>
      </w:pPr>
      <w:r>
        <w:t>11.3. Az Előfizető köteles a jogosulatlan hozzáférést, adatvesztést, biztonsági eseményt, kompromittált jelszót vagy feltételezett visszaélést a Hibabejelentő felületen, illetve annak elérhetetlensége esetén a hello@devenit.hu címen haladéktalanul bejelenteni, továbbá az esemény korlátozásához szükséges intézkedéseket megtenni.</w:t>
      </w:r>
    </w:p>
    <w:p>
      <w:pPr>
        <w:spacing w:after="90" w:line="252" w:lineRule="auto"/>
        <w:keepLines/>
      </w:pPr>
      <w:r>
        <w:t>11.4. Tilos különösen:</w:t>
      </w:r>
    </w:p>
    <w:p>
      <w:pPr>
        <w:pStyle w:val="ListBullet"/>
        <w:spacing w:after="50"/>
        <w:ind w:left="340" w:hanging="142"/>
        <w:keepLines/>
      </w:pPr>
      <w:r>
        <w:t>a Szolgáltatás vagy hozzáférés továbbértékesítése, bérbeadása, jogosulatlan átengedése vagy más vállalkozás részére történő szolgáltatásszerű biztosítása;</w:t>
      </w:r>
    </w:p>
    <w:p>
      <w:pPr>
        <w:pStyle w:val="ListBullet"/>
        <w:spacing w:after="50"/>
        <w:ind w:left="340" w:hanging="142"/>
        <w:keepLines/>
      </w:pPr>
      <w:r>
        <w:t>a forráskód, objektumkód, adatbázis-struktúra vagy műszaki megoldás visszafejtése, dekompilálása, megkerülése vagy másolása, kivéve a jogszabály által kötelezően megengedett mértéket;</w:t>
      </w:r>
    </w:p>
    <w:p>
      <w:pPr>
        <w:pStyle w:val="ListBullet"/>
        <w:spacing w:after="50"/>
        <w:ind w:left="340" w:hanging="142"/>
        <w:keepLines/>
      </w:pPr>
      <w:r>
        <w:t>a biztonsági, hozzáférési, díjfizetési vagy kapacitáskorlátozások megkerülése;</w:t>
      </w:r>
    </w:p>
    <w:p>
      <w:pPr>
        <w:pStyle w:val="ListBullet"/>
        <w:spacing w:after="50"/>
        <w:ind w:left="340" w:hanging="142"/>
        <w:keepLines/>
      </w:pPr>
      <w:r>
        <w:t>kártékony kód, vírus, féreg, támadó program, kéretlen tömeges üzenet vagy jogsértő tartalom terjesztése;</w:t>
      </w:r>
    </w:p>
    <w:p>
      <w:pPr>
        <w:pStyle w:val="ListBullet"/>
        <w:spacing w:after="50"/>
        <w:ind w:left="340" w:hanging="142"/>
        <w:keepLines/>
      </w:pPr>
      <w:r>
        <w:t>a rendszer automatizált túlterhelése, jogosulatlan adatkinyerés, sérülékenység-vizsgálat vagy támadás;</w:t>
      </w:r>
    </w:p>
    <w:p>
      <w:pPr>
        <w:pStyle w:val="ListBullet"/>
        <w:spacing w:after="50"/>
        <w:ind w:left="340" w:hanging="142"/>
        <w:keepLines/>
      </w:pPr>
      <w:r>
        <w:t>más személy személyes adatával, nevével, képmásával, elérhetőségével, szellemi alkotásával vagy üzleti titkával történő visszaélés;</w:t>
      </w:r>
    </w:p>
    <w:p>
      <w:pPr>
        <w:pStyle w:val="ListBullet"/>
        <w:spacing w:after="50"/>
        <w:ind w:left="340" w:hanging="142"/>
        <w:keepLines/>
      </w:pPr>
      <w:r>
        <w:t>jogellenes, megtévesztő, diszkriminatív, fenyegető, obszcén, gyűlöletkeltő vagy harmadik személy jogát sértő tartalom közzététele.</w:t>
      </w:r>
    </w:p>
    <w:p>
      <w:pPr>
        <w:spacing w:after="90" w:line="252" w:lineRule="auto"/>
        <w:keepLines/>
      </w:pPr>
      <w:r>
        <w:t>11.5. A Szolgáltató a 11.4. pont megsértésének megalapozott gyanúja esetén az érintett tartalmat eltávolíthatja, a hozzáférést előzetes értesítés nélkül korlátozhatja vagy felfüggesztheti, és az Előfizetőt a szükséges intézkedések megtételére felszólíthatja.</w:t>
      </w:r>
    </w:p>
    <w:p>
      <w:pPr>
        <w:pStyle w:val="Heading1"/>
        <w:keepNext/>
        <w:keepNext/>
      </w:pPr>
      <w:r>
        <w:t>12. Külső szolgáltatások, fizetés, számlázás és üzenetküldés</w:t>
      </w:r>
    </w:p>
    <w:p>
      <w:pPr>
        <w:spacing w:after="90" w:line="252" w:lineRule="auto"/>
        <w:keepLines/>
      </w:pPr>
      <w:r>
        <w:t>12.1. A Szolgáltatás külső fizetési, számlázási, e-mail-, SMS-, naptár- vagy más szolgáltatásokhoz kapcsolódhat. Az Előfizető főszabály szerint a saját külső szolgáltatói fiókját, szerződését, API-kulcsát és fizetési keretét használja, és viseli a külső szolgáltató díjait, tranzakciós költségeit és feltételeit.</w:t>
      </w:r>
    </w:p>
    <w:p>
      <w:pPr>
        <w:spacing w:after="90" w:line="252" w:lineRule="auto"/>
        <w:keepLines/>
      </w:pPr>
      <w:r>
        <w:t>12.2. A Szolgáltató az integráció során kizárólag a technikai összekapcsolást biztosítja; nem válik a külső szolgáltató vagy az Előfizető szerződéses partnerévé, és nem felel a külső szolgáltatás elérhetőségéért, jogszerűségéért, adatkezeléséért, díjszabásáért, API-jának változásáért, megszűnéséért vagy hibájáért. A Szolgáltató észszerű műszaki segítséget nyújt a hiba forrásának azonosításához.</w:t>
      </w:r>
    </w:p>
    <w:p>
      <w:pPr>
        <w:spacing w:after="90" w:line="252" w:lineRule="auto"/>
        <w:keepLines/>
      </w:pPr>
      <w:r>
        <w:t>12.3. Online fizetési integráció esetén a Foglaló személy fizetése az Előfizető saját fizetési szolgáltatói fiókján keresztül történik. Visszatérítés, visszaterhelés, vitatott tranzakció és a Foglaló személlyel történő elszámolás az Előfizető kötelezettsége.</w:t>
      </w:r>
    </w:p>
    <w:p>
      <w:pPr>
        <w:spacing w:after="90" w:line="252" w:lineRule="auto"/>
        <w:keepLines/>
      </w:pPr>
      <w:r>
        <w:t>12.4. Online számlázási integráció esetén a számla kiállítására, helyességére, megőrzésére, módosítására vagy sztornózására vonatkozó kötelezettség az Előfizetőt terheli. A Szolgáltató nem végez könyvelési vagy adótanácsadási tevékenységet, és nem felel a számlázási beállítások, adókulcsok vagy bizonylatok tartalmi helyességéért.</w:t>
      </w:r>
    </w:p>
    <w:p>
      <w:pPr>
        <w:spacing w:after="90" w:line="252" w:lineRule="auto"/>
        <w:keepLines/>
      </w:pPr>
      <w:r>
        <w:t>12.5. A DevenIT saját rendszerüzenetei különösen a fiókaktiválásra, jelszó-visszaállításra, előfizetésre, számlázásra, biztonságra és szerződéses értesítésekre terjedhetnek ki. E rendszerüzeneteket a Szolgáltató a saját technikai rendszeréből küldheti.</w:t>
      </w:r>
    </w:p>
    <w:p>
      <w:pPr>
        <w:spacing w:after="90" w:line="252" w:lineRule="auto"/>
        <w:keepLines/>
      </w:pPr>
      <w:r>
        <w:t>12.6. A foglalási visszaigazolás, emlékeztető, marketingüzenet, hírlevél vagy SMS az Előfizető nevében küldött ügyfélüzenetnek minősül. Az Előfizető felel az üzenet tartalmáért, címzettjeiért, jogalapjáért, a szükséges hozzájárulásokért, leiratkozási lehetőségért és az elektronikus hirdetésre vonatkozó jogszabályok betartásáért.</w:t>
      </w:r>
    </w:p>
    <w:p>
      <w:pPr>
        <w:spacing w:after="90" w:line="252" w:lineRule="auto"/>
        <w:keepLines/>
      </w:pPr>
      <w:r>
        <w:t>12.7. A Szolgáltató nem garantálja az elektronikus üzenetek kézbesítését, ha azt külső szolgáltató hibája, hibás vagy lejárt API-kulcs, küldési limit, levélszűrő, spam-besorolás, a címzett szolgáltatója, hibás elérhetőség vagy más, a Szolgáltató ellenőrzési körén kívüli ok akadályozza.</w:t>
      </w:r>
    </w:p>
    <w:p>
      <w:pPr>
        <w:pStyle w:val="Heading1"/>
        <w:keepNext/>
        <w:keepNext/>
      </w:pPr>
      <w:r>
        <w:t>13. Fejlesztés, karbantartás, támogatás és panaszkezelés</w:t>
      </w:r>
    </w:p>
    <w:p>
      <w:pPr>
        <w:spacing w:after="90" w:line="252" w:lineRule="auto"/>
        <w:keepLines/>
      </w:pPr>
      <w:r>
        <w:t>13.1. Az Előfizető tudomásul veszi, hogy a Szolgáltatás aktív fejlesztés alatt álló SaaS-rendszer. A használat során hibák, hiányosságok, kompatibilitási vagy megjelenítési problémák, átmeneti lassulások, részleges vagy teljes kiesések előfordulhatnak. A Szolgáltató szakmailag észszerű gondossággal törekszik a hibák megelőzésére, kivizsgálására és javítására.</w:t>
      </w:r>
    </w:p>
    <w:p>
      <w:pPr>
        <w:spacing w:after="90" w:line="252" w:lineRule="auto"/>
        <w:keepLines/>
      </w:pPr>
      <w:r>
        <w:t>13.2. A Szolgáltató jogosult a Szolgáltatás technikai felépítését, felhasználói felületét, munkafolyamatait és részfunkcióit fejleszteni, módosítani, átrendezni, kiegészíteni vagy lecserélni, feltéve, hogy a Szolgáltatás alapvető rendeltetése nem szűnik meg. Biztonsági, adatvédelmi, jogszabályi vagy sürgős műszaki okból változás előzetes értesítés nélkül is bevezethető.</w:t>
      </w:r>
    </w:p>
    <w:p>
      <w:pPr>
        <w:spacing w:after="90" w:line="252" w:lineRule="auto"/>
        <w:keepLines/>
      </w:pPr>
      <w:r>
        <w:t>13.3. A műszaki hibák, adatvédelmi vagy biztonsági események, számlázási kérdések, szerződéses panaszok és fejlesztési észrevételek elsődleges bejelentési helye a Hibabejelentő felület. A bejelentés a kiválasztott kategória szerint minősül hivatalos hibabejelentésnek, adatvédelmi bejelentésnek, számlázási ügynek, szerződéses panasznak vagy fejlesztési javaslatnak.</w:t>
      </w:r>
    </w:p>
    <w:p>
      <w:pPr>
        <w:spacing w:after="90" w:line="252" w:lineRule="auto"/>
        <w:keepLines/>
      </w:pPr>
      <w:r>
        <w:t>13.4. A műszaki hiba vagy fejlesztési javaslat nem minősül automatikusan szerződéses panasznak. A „szerződéses panasz” kategóriában benyújtott bejelentés, továbbá a hello@devenit.hu címre kifejezetten panaszként megküldött nyilatkozat hivatalos panasznak minősül.</w:t>
      </w:r>
    </w:p>
    <w:p>
      <w:pPr>
        <w:spacing w:after="90" w:line="252" w:lineRule="auto"/>
        <w:keepLines/>
      </w:pPr>
      <w:r>
        <w:t>13.5. A Szolgáltató a hivatalos panaszt a beérkezéstől számított legfeljebb harminc napon belül megvizsgálja, és az Előfizetőt elektronikus úton tájékoztatja álláspontjáról. A Szolgáltató munkanapokon törekszik arra, hogy a műszaki és más támogatási bejelentésekre két munkanapon belül érdemi választ adjon; e válaszadási célérték nem minősül garantált hibaelhárítási határidőnek.</w:t>
      </w:r>
    </w:p>
    <w:p>
      <w:pPr>
        <w:spacing w:after="90" w:line="252" w:lineRule="auto"/>
        <w:keepLines/>
      </w:pPr>
      <w:r>
        <w:t>13.6. A Szolgáltató a bejelentés kivizsgálásához képernyőképet, időpontot, reprodukciós lépéssort, eszköz-, operációsrendszer- és böngészőadatot, naplóbejegyzést, valamint más, a hiba vagy incidens azonosításához szükséges információt kérhet. A bejelentés nem tartalmazhat a kivizsgáláshoz szükségtelen személyes vagy különleges adatot.</w:t>
      </w:r>
    </w:p>
    <w:p>
      <w:pPr>
        <w:spacing w:after="90" w:line="252" w:lineRule="auto"/>
        <w:keepLines/>
      </w:pPr>
      <w:r>
        <w:t>13.7. A hibák javításának sorrendjét a biztonsági kockázat, az üzleti és adatvédelmi hatás, az érintett Előfizetők száma, a reprodukálhatóság, a technikai összetettség és a rendelkezésre álló erőforrások alapján a Szolgáltató határozza meg.</w:t>
      </w:r>
    </w:p>
    <w:p>
      <w:pPr>
        <w:pStyle w:val="Heading1"/>
        <w:keepNext/>
        <w:keepNext/>
      </w:pPr>
      <w:r>
        <w:t>14. Rendelkezésre állás, mentések és üzletmenet-folytonosság</w:t>
      </w:r>
    </w:p>
    <w:p>
      <w:pPr>
        <w:spacing w:after="90" w:line="252" w:lineRule="auto"/>
        <w:keepLines/>
      </w:pPr>
      <w:r>
        <w:t>14.1. Külön szolgáltatási szint megállapodás hiányában a Szolgáltató meghatározott százalékos rendelkezésre állást, megszakítás nélküli működést vagy garantált helyreállítási időt nem vállal. A Szolgáltató észszerű szakmai gondossággal törekszik a folyamatos működésre.</w:t>
      </w:r>
    </w:p>
    <w:p>
      <w:pPr>
        <w:spacing w:after="90" w:line="252" w:lineRule="auto"/>
        <w:keepLines/>
      </w:pPr>
      <w:r>
        <w:t>14.2. A Szolgáltatás átmeneti korlátozására vagy kiesésére sor kerülhet különösen karbantartás, fejlesztés, hibajavítás, verzióváltás, túlterhelés, kibertámadás, tárhely- vagy hálózati üzemzavar, külső szolgáltató hibája, hatósági intézkedés vagy biztonsági beavatkozás miatt.</w:t>
      </w:r>
    </w:p>
    <w:p>
      <w:pPr>
        <w:spacing w:after="90" w:line="252" w:lineRule="auto"/>
        <w:keepLines/>
      </w:pPr>
      <w:r>
        <w:t>14.3. A tervezett karbantartásról a Szolgáltató lehetőség szerint előzetesen értesíti az Előfizetőt. Sürgős biztonsági, adatvédelmi vagy üzemeltetési beavatkozás előzetes értesítés nélkül is végrehajtható.</w:t>
      </w:r>
    </w:p>
    <w:p>
      <w:pPr>
        <w:spacing w:after="90" w:line="252" w:lineRule="auto"/>
        <w:keepLines/>
      </w:pPr>
      <w:r>
        <w:t>14.4. A Szolgáltató az éles MySQL-adatbázisról napi automatikus biztonsági mentést készít, amelyet az éles adatbázistól elkülönített mentési tárhelyen főszabály szerint legfeljebb harminc napig őriz. A mentések célja az üzemzavar utáni helyreállítás támogatása; a mentési rendszer nem minősül korlátlan archiválásnak vagy teljes adatvesztés elleni garanciának.</w:t>
      </w:r>
    </w:p>
    <w:p>
      <w:pPr>
        <w:spacing w:after="90" w:line="252" w:lineRule="auto"/>
        <w:keepLines/>
      </w:pPr>
      <w:r>
        <w:t>14.5. A helyreállítás lehetősége és eredménye az incidens jellegétől, a mentés épségétől, az infrastruktúra állapotától és a technikailag rendelkezésre álló helyreállítási ponttól függ. A Szolgáltató nem szavatolja, hogy minden adat vagy minden időállapot maradéktalanul helyreállítható.</w:t>
      </w:r>
    </w:p>
    <w:p>
      <w:pPr>
        <w:spacing w:after="90" w:line="252" w:lineRule="auto"/>
        <w:keepLines/>
      </w:pPr>
      <w:r>
        <w:t>14.6. Az Előfizető köteles saját üzletmenet-folytonosságáról gondoskodni, ideértve legalább egy, a Szolgáltatástól független, észszerűen alkalmazható kapcsolattartási vagy foglalási lehetőség fenntartását, a jogszabály alapján megőrzendő bizonylatok és nyilvántartások külön megőrzését, továbbá a számára lényeges adatok szükség szerinti exportját.</w:t>
      </w:r>
    </w:p>
    <w:p>
      <w:pPr>
        <w:pStyle w:val="Heading1"/>
        <w:keepNext/>
        <w:keepNext/>
      </w:pPr>
      <w:r>
        <w:t>15. Szellemi tulajdon, ügyféltartalom, visszajelzés és referencia</w:t>
      </w:r>
    </w:p>
    <w:p>
      <w:pPr>
        <w:spacing w:after="90" w:line="252" w:lineRule="auto"/>
        <w:keepLines/>
      </w:pPr>
      <w:r>
        <w:t>15.1. A Szolgáltatás, annak forráskódja, objektumkódja, adatbázis-struktúrája, felhasználói felülete, grafikai elemei, dokumentációja, üzleti logikája, elnevezései, védjegyei és a Szolgáltató által létrehozott fejlesztések valamennyi szerzői és egyéb szellemi tulajdonjoga a Szolgáltatót vagy jogszerű licencadóját illeti.</w:t>
      </w:r>
    </w:p>
    <w:p>
      <w:pPr>
        <w:spacing w:after="90" w:line="252" w:lineRule="auto"/>
        <w:keepLines/>
      </w:pPr>
      <w:r>
        <w:t>15.2. Az Előfizető a szerződés fennállása alatt korlátozott, nem kizárólagos, nem átruházható és nem továbbengedélyezhető jogot kap a Szolgáltatás saját belső üzleti célú használatára. A használati jog a szerződés megszűnésével automatikusan megszűnik.</w:t>
      </w:r>
    </w:p>
    <w:p>
      <w:pPr>
        <w:spacing w:after="90" w:line="252" w:lineRule="auto"/>
        <w:keepLines/>
      </w:pPr>
      <w:r>
        <w:t>15.3. Az Ügyféladatokhoz és az Előfizető által feltöltött tartalmakhoz fűződő jogok az Előfizetőt vagy az arra jogosult harmadik személyt illetik. Az Előfizető a szerződés időtartamára kizárólag a Szolgáltatás teljesítéséhez szükséges, díjmentes felhasználási jogot biztosít a Szolgáltatónak és közreműködőinek.</w:t>
      </w:r>
    </w:p>
    <w:p>
      <w:pPr>
        <w:spacing w:after="90" w:line="252" w:lineRule="auto"/>
        <w:keepLines/>
      </w:pPr>
      <w:r>
        <w:t>15.4. Az Előfizető szavatolja, hogy az általa feltöltött név, kép, logó, szöveg, adat és más tartalom használatára jogosult, és az nem sérti harmadik személy szerzői, védjegy-, személyiségi, adatvédelmi vagy más jogát.</w:t>
      </w:r>
    </w:p>
    <w:p>
      <w:pPr>
        <w:spacing w:after="90" w:line="252" w:lineRule="auto"/>
        <w:keepLines/>
      </w:pPr>
      <w:r>
        <w:t>15.5. A Szolgáltató időszakosan visszajelzést kérhet a Szolgáltatás használhatóságáról, hibáiról és fejlesztési irányairól. A visszajelzés megadása önkéntes. Az Előfizető által önkéntesen közölt, üzleti titkot vagy személyes adatot nem tartalmazó általános ötletet, javaslatot és termék-visszajelzést a Szolgáltató a Szolgáltatás fejlesztésére külön díjazás vagy felhasználási korlátozás nélkül felhasználhatja.</w:t>
      </w:r>
    </w:p>
    <w:p>
      <w:pPr>
        <w:spacing w:after="90" w:line="252" w:lineRule="auto"/>
        <w:keepLines/>
      </w:pPr>
      <w:r>
        <w:t>15.6. A Szolgáltató az Előfizető nevét, megjelölését, logóját vagy a vele fennálló jogviszony tényét referenciaként kizárólag az Előfizető előzetes, kifejezett hozzájárulásával használhatja.</w:t>
      </w:r>
    </w:p>
    <w:p>
      <w:pPr>
        <w:spacing w:after="90" w:line="252" w:lineRule="auto"/>
        <w:keepLines/>
      </w:pPr>
      <w:r>
        <w:t>15.7. A Szolgáltató a személyazonosításra alkalmatlanná tett, összesített használati, teljesítmény- és hibastatisztikákat a Szolgáltatás biztonságának, minőségének, kapacitástervezésének és fejlesztésének céljára felhasználhatja, feltéve, hogy azokból az Előfizető, Jogosult felhasználó vagy Foglaló személy nem azonosítható.</w:t>
      </w:r>
    </w:p>
    <w:p>
      <w:pPr>
        <w:pStyle w:val="Heading1"/>
        <w:keepNext/>
        <w:keepNext/>
      </w:pPr>
      <w:r>
        <w:t>16. Adatvédelmi szerepek és adatfeldolgozási megállapodás</w:t>
      </w:r>
    </w:p>
    <w:p>
      <w:pPr>
        <w:spacing w:after="90" w:line="252" w:lineRule="auto"/>
        <w:keepLines/>
      </w:pPr>
      <w:r>
        <w:t>16.1. Az Előfizető a Foglaló személyek, saját munkatársai és más érintettek Szolgáltatásban kezelt személyes adatai tekintetében adatkezelő. Az Előfizető határozza meg az adatkezelés célját, jogalapját, adatkörét, megőrzési idejét, az érintetti tájékoztatást és az adattovábbítás címzettjeit.</w:t>
      </w:r>
    </w:p>
    <w:p>
      <w:pPr>
        <w:spacing w:after="90" w:line="252" w:lineRule="auto"/>
        <w:keepLines/>
      </w:pPr>
      <w:r>
        <w:t>16.2. A Szolgáltató az Ügyféladatban szereplő személyes adatok tekintetében az Előfizető nevében és dokumentált utasításai alapján adatfeldolgozó. A jelen 16–19. fejezet és az M2–M3. melléklet a felek közötti, az Európai Parlament és a Tanács (EU) 2016/679 rendelete 28. cikke szerinti, elektronikus formában létrejövő adatfeldolgozási megállapodást képezi.</w:t>
      </w:r>
    </w:p>
    <w:p>
      <w:pPr>
        <w:spacing w:after="90" w:line="252" w:lineRule="auto"/>
        <w:keepLines/>
      </w:pPr>
      <w:r>
        <w:t>16.3. A Szolgáltató az Előfizető szerződéses, számlázási, kapcsolattartási, fizetési, csalásmegelőzési, saját ügyfélszolgálati, biztonsági és jogi igényérvényesítési adatai tekintetében önálló adatkezelő. Ezen adatkezelések részletes feltételeit a Szolgáltató külön adatkezelési tájékoztatója tartalmazza.</w:t>
      </w:r>
    </w:p>
    <w:p>
      <w:pPr>
        <w:spacing w:after="90" w:line="252" w:lineRule="auto"/>
        <w:keepLines/>
      </w:pPr>
      <w:r>
        <w:t>16.4. Az Előfizető szavatolja, hogy a Szolgáltató rendelkezésére bocsátott személyes adatok kezelése jogszerű, az érintettek megfelelő tájékoztatást kaptak, a szükséges hozzájárulások vagy más jogalapok fennállnak, és az adatfeldolgozásra vonatkozó utasítások megfelelnek az alkalmazandó adatvédelmi jognak.</w:t>
      </w:r>
    </w:p>
    <w:p>
      <w:pPr>
        <w:spacing w:after="90" w:line="252" w:lineRule="auto"/>
        <w:keepLines/>
      </w:pPr>
      <w:r>
        <w:t>16.5. Az adatfeldolgozás tárgyát, időtartamát, jellegét, célját, az érintettek kategóriáit, a személyes adatok típusait és a felek fő kötelezettségeit az M2. melléklet részletesen meghatározza.</w:t>
      </w:r>
    </w:p>
    <w:p>
      <w:pPr>
        <w:pStyle w:val="Heading1"/>
        <w:keepNext/>
        <w:keepNext/>
      </w:pPr>
      <w:r>
        <w:t>17. Adatfeldolgozói kötelezettségek, érintetti kérelmek és ellenőrzés</w:t>
      </w:r>
    </w:p>
    <w:p>
      <w:pPr>
        <w:spacing w:after="90" w:line="252" w:lineRule="auto"/>
        <w:keepLines/>
      </w:pPr>
      <w:r>
        <w:t>17.1. A Szolgáltató személyes adatot kizárólag az Előfizető dokumentált utasítása alapján, a Szolgáltatás biztosítása, tárhelyi tárolása, megjelenítése, foglalások kezelése, értesítések továbbítása, támogatás, hibavizsgálat, biztonság, mentés, helyreállítás, export, korlátozás és törlés céljából kezel.</w:t>
      </w:r>
    </w:p>
    <w:p>
      <w:pPr>
        <w:spacing w:after="90" w:line="252" w:lineRule="auto"/>
        <w:keepLines/>
      </w:pPr>
      <w:r>
        <w:t>17.2. Dokumentált utasításnak minősül a jelen ÁSZF, az elektronikus megrendelés, az Előfizető által a Szolgáltatásban végzett jogszerű beállítás, valamint az Előfizető azonosítható elektronikus vagy a Hibabejelentő felületen rögzített utasítása.</w:t>
      </w:r>
    </w:p>
    <w:p>
      <w:pPr>
        <w:spacing w:after="90" w:line="252" w:lineRule="auto"/>
        <w:keepLines/>
      </w:pPr>
      <w:r>
        <w:t>17.3. Ha a Szolgáltató megítélése szerint az Előfizető utasítása adatvédelmi jogszabályt sért, erről az Előfizetőt indokolatlan késedelem nélkül tájékoztatja, és az utasítás teljesítését a jogszerűség tisztázásáig felfüggesztheti, kivéve, ha jogszabály az utasítás teljesítését kötelezővé teszi.</w:t>
      </w:r>
    </w:p>
    <w:p>
      <w:pPr>
        <w:spacing w:after="90" w:line="252" w:lineRule="auto"/>
        <w:keepLines/>
      </w:pPr>
      <w:r>
        <w:t>17.4. A személyes adatokhoz kizárólag olyan személy férhet hozzá, akinek hozzáférése a Szolgáltatás teljesítéséhez szükséges, és aki megfelelő titoktartási kötelezettség alatt áll. A Szolgáltató a hozzáféréseket a szükséges legkisebb jogosultság elvének megfelelően korlátozza.</w:t>
      </w:r>
    </w:p>
    <w:p>
      <w:pPr>
        <w:spacing w:after="90" w:line="252" w:lineRule="auto"/>
        <w:keepLines/>
      </w:pPr>
      <w:r>
        <w:t>17.5. A Szolgáltató a Szolgáltatás jellegére és a rendelkezésére álló információkra tekintettel észszerű technikai és szervezési intézkedésekkel segíti az Előfizetőt az érintetti kérelmek, adatvédelmi incidensek, adatvédelmi hatásvizsgálatok, előzetes konzultációk és felügyeleti hatósági megkeresések teljesítésében.</w:t>
      </w:r>
    </w:p>
    <w:p>
      <w:pPr>
        <w:spacing w:after="90" w:line="252" w:lineRule="auto"/>
        <w:keepLines/>
      </w:pPr>
      <w:r>
        <w:t>17.6. Ha a Foglaló személy vagy más érintett közvetlenül a Szolgáltatóhoz fordul, a Szolgáltató a kérelmet főszabály szerint az Előfizetőhöz továbbítja, és önállóan csak akkor jár el, ha erre jogszabály kötelezi vagy az Előfizető dokumentált utasítást ad.</w:t>
      </w:r>
    </w:p>
    <w:p>
      <w:pPr>
        <w:spacing w:after="90" w:line="252" w:lineRule="auto"/>
        <w:keepLines/>
      </w:pPr>
      <w:r>
        <w:t>17.7. A Szolgáltató a személyes adatokat érintő adatvédelmi incidensről annak tudomására jutását követően indokolatlan késedelem nélkül értesíti az Előfizetőt, és a rendelkezésére álló információk alapján közli legalább az incidens jellegét, várható következményeit és a megtett vagy tervezett intézkedéseket. A felügyeleti hatóság vagy érintettek értesítése az Előfizető adatkezelői kötelezettsége, amelyhez a Szolgáltató észszerű segítséget nyújt.</w:t>
      </w:r>
    </w:p>
    <w:p>
      <w:pPr>
        <w:spacing w:after="90" w:line="252" w:lineRule="auto"/>
        <w:keepLines/>
      </w:pPr>
      <w:r>
        <w:t>17.8. A Szolgáltató az Előfizető rendelkezésére bocsátja a jelen fejezet szerinti kötelezettségek teljesítésének igazolásához észszerűen szükséges információkat. Az Előfizető évente legfeljebb egy alkalommal, legalább harminc napos előzetes értesítéssel, a Szolgáltató üzleti titkainak, más ügyfelek adatainak és rendszereinek védelme mellett ellenőrzést kezdeményezhet.</w:t>
      </w:r>
    </w:p>
    <w:p>
      <w:pPr>
        <w:spacing w:after="90" w:line="252" w:lineRule="auto"/>
        <w:keepLines/>
      </w:pPr>
      <w:r>
        <w:t>17.9. Az ellenőrzés elsődlegesen dokumentumvizsgálattal történik. Helyszíni vagy rendkívüli ellenőrzés kizárólag indokolt adatvédelmi kockázat vagy hatósági kötelezés esetén, munkaidőben, a Szolgáltató működésének indokolatlan zavarása nélkül végezhető. Az ellenőrzés költségeit az Előfizető viseli, kivéve, ha az ellenőrzés lényeges, a Szolgáltatónak felróható szerződésszegést tár fel.</w:t>
      </w:r>
    </w:p>
    <w:p>
      <w:pPr>
        <w:spacing w:after="90" w:line="252" w:lineRule="auto"/>
        <w:keepLines/>
      </w:pPr>
      <w:r>
        <w:t>17.10. Az érintetti kérelmekhez, hatásvizsgálathoz, auditáláshoz vagy egyedi adatszolgáltatáshoz nyújtott, az általános Szolgáltatás körét lényegesen meghaladó közreműködés külön díjazású lehet, amennyiben a többletmunka nem a Szolgáltató szerződésszegéséből ered, és a Szolgáltató a díjról előzetesen tájékoztatást ad.</w:t>
      </w:r>
    </w:p>
    <w:p>
      <w:pPr>
        <w:pStyle w:val="Heading1"/>
        <w:keepNext/>
        <w:keepNext/>
      </w:pPr>
      <w:r>
        <w:t>18. Aladatfeldolgozók és nemzetközi adattovábbítás</w:t>
      </w:r>
    </w:p>
    <w:p>
      <w:pPr>
        <w:spacing w:after="90" w:line="252" w:lineRule="auto"/>
        <w:keepLines/>
      </w:pPr>
      <w:r>
        <w:t>18.1. A Szolgáltatás és az annak részét képező MySQL-adatbázis a Szolgáltató által bérelt Rackhost-tárhelyen működik. A Rackhost Zrt. a tárhely-, adatbázis- és kapcsolódó infrastruktúra biztosítása tekintetében aladatfeldolgozó. A tárhelyszolgáltatás a tárolt adatokon tulajdonjogot vagy önálló rendelkezési jogot nem keletkeztet.</w:t>
      </w:r>
    </w:p>
    <w:p>
      <w:pPr>
        <w:spacing w:after="90" w:line="252" w:lineRule="auto"/>
        <w:keepLines/>
      </w:pPr>
      <w:r>
        <w:t>18.2. Az Előfizető a Rackhost Zrt. és a Szolgáltatás teljesítéséhez szükséges további vagy helyettesítő aladatfeldolgozók igénybevételéhez általános írásbeli felhatalmazást ad. A jelenleg igénybe vett aladatfeldolgozókat az M3. melléklet tartalmazza.</w:t>
      </w:r>
    </w:p>
    <w:p>
      <w:pPr>
        <w:spacing w:after="90" w:line="252" w:lineRule="auto"/>
        <w:keepLines/>
      </w:pPr>
      <w:r>
        <w:t>18.3. A Szolgáltató új aladatfeldolgozó bevonásáról vagy meglévő aladatfeldolgozó cseréjéről legalább tizenöt nappal korábban elektronikus értesítést ad, kivéve, ha sürgős biztonsági, adatvédelmi, jogszabályi vagy szolgáltatás-folytonossági ok rövidebb határidőt indokol.</w:t>
      </w:r>
    </w:p>
    <w:p>
      <w:pPr>
        <w:spacing w:after="90" w:line="252" w:lineRule="auto"/>
        <w:keepLines/>
      </w:pPr>
      <w:r>
        <w:t>18.4. Az Előfizető az új aladatfeldolgozóval szemben kizárólag megalapozott adatvédelmi okból, az értesítés kézhezvételétől számított tizenöt napon belül emelhet kifogást. A felek jóhiszeműen törekednek a kifogás rendezésére. Ha észszerű alternatíva nem áll rendelkezésre, bármely fél a kifogással érintett Szolgáltatást vagy a szerződést a következő Előfizetési időszak kezdetére felmondhatja.</w:t>
      </w:r>
    </w:p>
    <w:p>
      <w:pPr>
        <w:spacing w:after="90" w:line="252" w:lineRule="auto"/>
        <w:keepLines/>
      </w:pPr>
      <w:r>
        <w:t>18.5. A Szolgáltató az aladatfeldolgozóval olyan írásbeli megállapodást köt, amely az aladatfeldolgozóra legalább a jelen ÁSZF szerinti lényeges adatvédelmi kötelezettségeket telepíti. Az aladatfeldolgozó adatvédelmi kötelezettségeinek teljesítéséért a Szolgáltató az Előfizetővel szemben a kötelező jogszabályi keretek között felel.</w:t>
      </w:r>
    </w:p>
    <w:p>
      <w:pPr>
        <w:spacing w:after="90" w:line="252" w:lineRule="auto"/>
        <w:keepLines/>
      </w:pPr>
      <w:r>
        <w:t>18.6. A Szolgáltató főszabály szerint az Európai Gazdasági Térségen belül dolgozza fel és tárolja az Ügyféladatokat. Harmadik országba vagy nemzetközi szervezet részére történő adattovábbításra kizárólag az alkalmazandó adatvédelmi jog által megengedett jogalap, megfelelő garancia és az Előfizető dokumentált utasítása alapján kerülhet sor.</w:t>
      </w:r>
    </w:p>
    <w:p>
      <w:pPr>
        <w:spacing w:after="90" w:line="252" w:lineRule="auto"/>
        <w:keepLines/>
      </w:pPr>
      <w:r>
        <w:t>18.7. Az Előfizető által önállóan kiválasztott és összekapcsolt Külső szolgáltatás részére történő adattovábbításért, annak jogalapjáért, címzettjéért és esetleges harmadik országbeli adattovábbításáért az Előfizető felel, kivéve, ha a Külső szolgáltatást a Szolgáltató saját aladatfeldolgozójaként veszi igénybe.</w:t>
      </w:r>
    </w:p>
    <w:p>
      <w:pPr>
        <w:pStyle w:val="Heading1"/>
        <w:keepNext/>
        <w:keepNext/>
      </w:pPr>
      <w:r>
        <w:t>19. Adatmegőrzés, export és törlés</w:t>
      </w:r>
    </w:p>
    <w:p>
      <w:pPr>
        <w:spacing w:after="90" w:line="252" w:lineRule="auto"/>
        <w:keepLines/>
      </w:pPr>
      <w:r>
        <w:t>19.1. A szerződés megszűnésével a nyilvános foglalási felület és az aktív rendszerhasználat megszűnik. Az Előfizető a megszűnést követő harminc napon belül egy alkalommal, külön díj nélkül kérheti a technikailag elérhető Ügyféladatok általánosan használt, géppel olvasható formátumú exportját, különösen CSV- vagy ZIP-formátumban.</w:t>
      </w:r>
    </w:p>
    <w:p>
      <w:pPr>
        <w:spacing w:after="90" w:line="252" w:lineRule="auto"/>
        <w:keepLines/>
      </w:pPr>
      <w:r>
        <w:t>19.2. Egyedi szerkezetű export, adattisztítás, összetett lekérdezés, migráció, adattranszformáció vagy más rendszerbe történő betöltés külön díjazású szolgáltatás lehet. A Szolgáltató nyers MySQL-adatbázis vagy belső adatbázis-struktúra átadására nem köteles.</w:t>
      </w:r>
    </w:p>
    <w:p>
      <w:pPr>
        <w:spacing w:after="90" w:line="252" w:lineRule="auto"/>
        <w:keepLines/>
      </w:pPr>
      <w:r>
        <w:t>19.3. A Szolgáltató az Ügyféladatokat a szerződés megszűnését követő harminc nap elteltével törli vagy visszafordíthatatlanul anonimizálja az aktív rendszerekből, kivéve a jogszabály alapján megőrzendő adatokat, a biztonsági naplókat, a jogi igények érvényesítéséhez szükséges adatokat és a biztonsági mentésekben átmenetileg fennmaradó példányokat.</w:t>
      </w:r>
    </w:p>
    <w:p>
      <w:pPr>
        <w:spacing w:after="90" w:line="252" w:lineRule="auto"/>
        <w:keepLines/>
      </w:pPr>
      <w:r>
        <w:t>19.4. A biztonsági mentésekben fennmaradó Ügyféladatok a rendes felülírási ciklus szerint, legkésőbb a szerződés megszűnésétől számított kilencven napon belül kerülnek kivezetésre. A mentésekből történő egyedi, szelektív törlés technikailag nem minden esetben lehetséges; ilyen adat kizárólag helyreállítási célból használható, és helyreállítás esetén ismételten alkalmazni kell a törlési szabályokat.</w:t>
      </w:r>
    </w:p>
    <w:p>
      <w:pPr>
        <w:spacing w:after="90" w:line="252" w:lineRule="auto"/>
        <w:keepLines/>
      </w:pPr>
      <w:r>
        <w:t>19.5. A szerződéses, számlázási, számviteli, adózási, biztonsági és jogi igényérvényesítési adatokat a Szolgáltató a rá irányadó jogszabályi megőrzési idő alatt önálló adatkezelőként tovább kezelheti.</w:t>
      </w:r>
    </w:p>
    <w:p>
      <w:pPr>
        <w:pStyle w:val="Heading1"/>
        <w:keepNext/>
        <w:keepNext/>
      </w:pPr>
      <w:r>
        <w:t>20. Titoktartás</w:t>
      </w:r>
    </w:p>
    <w:p>
      <w:pPr>
        <w:spacing w:after="90" w:line="252" w:lineRule="auto"/>
        <w:keepLines/>
      </w:pPr>
      <w:r>
        <w:t>20.1. Bizalmas információnak minősül minden olyan nem nyilvános üzleti, pénzügyi, műszaki, szerződéses, ügyfél-, személyes vagy biztonsági adat, amelyet az egyik fél a másik fél rendelkezésére bocsát, vagy amelyhez a szerződés teljesítése során hozzáfér.</w:t>
      </w:r>
    </w:p>
    <w:p>
      <w:pPr>
        <w:spacing w:after="90" w:line="252" w:lineRule="auto"/>
        <w:keepLines/>
      </w:pPr>
      <w:r>
        <w:t>20.2. A felek a Bizalmas információt kizárólag a szerződés teljesítéséhez használhatják, és azt harmadik személy részére csak jogszabályi vagy hatósági kötelezés, a másik fél előzetes hozzájárulása vagy a teljesítéshez szükséges, megfelelő titoktartás alatt álló közreműködő bevonása esetén adhatják át.</w:t>
      </w:r>
    </w:p>
    <w:p>
      <w:pPr>
        <w:spacing w:after="90" w:line="252" w:lineRule="auto"/>
        <w:keepLines/>
      </w:pPr>
      <w:r>
        <w:t>20.3. Nem minősül Bizalmas információnak az az adat, amely bizonyíthatóan nyilvánosan hozzáférhető, a fogadó fél jogszerűen már korábban ismerte, harmadik személytől jogszerűen szerezte, vagy a Bizalmas információ felhasználása nélkül önállóan fejlesztette ki.</w:t>
      </w:r>
    </w:p>
    <w:p>
      <w:pPr>
        <w:spacing w:after="90" w:line="252" w:lineRule="auto"/>
        <w:keepLines/>
      </w:pPr>
      <w:r>
        <w:t>20.4. A titoktartási kötelezettség a szerződés megszűnését követően öt évig, személyes adatok és üzleti titok esetén pedig a jogszabályban vagy a védelem természetében meghatározott időtartamig fennmarad.</w:t>
      </w:r>
    </w:p>
    <w:p>
      <w:pPr>
        <w:pStyle w:val="Heading1"/>
        <w:keepNext/>
        <w:keepNext/>
      </w:pPr>
      <w:r>
        <w:t>21. Szavatosság, felelősség és harmadik személyi igényekért való helytállás</w:t>
      </w:r>
    </w:p>
    <w:p>
      <w:pPr>
        <w:spacing w:after="90" w:line="252" w:lineRule="auto"/>
        <w:keepLines/>
      </w:pPr>
      <w:r>
        <w:t>21.1. A Szolgáltató a Szolgáltatást szakmailag észszerű gondossággal biztosítja, azonban nem szavatolja, hogy a Szolgáltatás minden időpontban megszakítás-, hiba- vagy késedelemmentesen működik, minden eszközzel, böngészővel vagy külső szolgáltatással kompatibilis, illetve az Előfizető valamennyi egyedi üzleti céljára alkalmas.</w:t>
      </w:r>
    </w:p>
    <w:p>
      <w:pPr>
        <w:spacing w:after="90" w:line="252" w:lineRule="auto"/>
        <w:keepLines/>
      </w:pPr>
      <w:r>
        <w:t>21.2. A Szolgáltató nem felel az Előfizető által elérni kívánt üzleti eredményért, új ügyfelek, foglalások vagy bevétel megszerzéséért, a Foglaló személy megjelenéséért vagy távolmaradásáért, az Előfizető szolgáltatásának teljesítéséért, az Előfizető beállításaiért, adatainak pontosságáért, jogszerűségéért, internetkapcsolatáért, eszközeiért, hozzáféréseiért vagy saját üzletmenet-folytonossági intézkedéseinek hiányáért.</w:t>
      </w:r>
    </w:p>
    <w:p>
      <w:pPr>
        <w:spacing w:after="90" w:line="252" w:lineRule="auto"/>
        <w:keepLines/>
      </w:pPr>
      <w:r>
        <w:t>21.3. A jogszabály által megengedett legteljesebb mértékben kizárt a Szolgáltató felelőssége minden közvetett vagy következményi kárért, továbbá minden, a szerződéskötéskor észszerűen előre nem látható vagyoni hátrányért és elmaradt vagyoni előnyért, ideértve különösen az elmaradt árbevételt, elmaradt hasznot, elveszett üzleti lehetőséget, elmaradt vagy elveszett foglalást, vendég- vagy ügyfélvesztést, jóhírnév-sérelmet, üzletmenet-kiesést, helyettesítő szolgáltatás költségét, adatvesztésből eredő következményi kárt és harmadik személy követelését.</w:t>
      </w:r>
    </w:p>
    <w:p>
      <w:pPr>
        <w:spacing w:after="90" w:line="252" w:lineRule="auto"/>
        <w:keepLines/>
      </w:pPr>
      <w:r>
        <w:t>21.4. A Szolgáltató kizárólag az Előfizető által bizonyított, közvetlen, észszerűen előrelátható és a kárenyhítési kötelezettség teljesítése mellett fennmaradó kárért felel. Az Előfizető köteles a kár megelőzése, elhárítása és csökkentése érdekében az adott helyzetben általában elvárható intézkedéseket megtenni, és a káreseményről a Szolgáltatót indokolatlan késedelem nélkül tájékoztatni.</w:t>
      </w:r>
    </w:p>
    <w:p>
      <w:pPr>
        <w:spacing w:after="90" w:line="252" w:lineRule="auto"/>
        <w:keepLines/>
      </w:pPr>
      <w:r>
        <w:t>21.5. A felek egymás közötti jogviszonyában a Szolgáltató szerződésből, szerződésszegésből, szavatosságból, kártérítésből, adatfeldolgozásból vagy más jogcímből eredő teljes, összesített felelőssége nem haladhatja meg a kárigényt megalapozó eseményt közvetlenül megelőző hat hónapban az Előfizető által a Szolgáltatásért ténylegesen megfizetett előfizetési díjak összegét. Ha a szerződés hat hónapnál rövidebb ideje áll fenn, a korlát a szerződés kezdete óta ténylegesen megfizetett előfizetési díjak összege.</w:t>
      </w:r>
    </w:p>
    <w:p>
      <w:pPr>
        <w:spacing w:after="90" w:line="252" w:lineRule="auto"/>
        <w:keepLines/>
      </w:pPr>
      <w:r>
        <w:t>21.6. Próbaidő, díjmentes pilot- vagy teszthozzáférés esetén a Szolgáltató kártérítési felelőssége a jogszabály által megengedett legteljesebb mértékben kizárt.</w:t>
      </w:r>
    </w:p>
    <w:p>
      <w:pPr>
        <w:spacing w:after="90" w:line="252" w:lineRule="auto"/>
        <w:keepLines/>
      </w:pPr>
      <w:r>
        <w:t>21.7. A felelősségkizárások és -korlátozások nem alkalmazhatók olyan esetben és mértékben, amelyben azok kizárását vagy korlátozását kötelező jogszabály tiltja, így különösen a szándékosan okozott, valamint az emberi életet, testi épséget vagy egészséget megkárosító szerződésszegésért fennálló felelősségre. A jelen fejezet nem érinti az érintettek kötelező adatvédelmi jogait, a felügyeleti hatóság jogköreit vagy a kötelező jogszabályi felelősséget.</w:t>
      </w:r>
    </w:p>
    <w:p>
      <w:pPr>
        <w:spacing w:after="90" w:line="252" w:lineRule="auto"/>
        <w:keepLines/>
      </w:pPr>
      <w:r>
        <w:t>21.8. Az Előfizető köteles a Szolgáltatót mentesíteni, továbbá részére megtéríteni minden olyan harmadik személyi igény, jogszerűen áthárítható hatósági vagy eljárási költség, visszatérítés, visszaterhelés, fizetési kötelezettség és kár tekintetében, amely az Előfizető vagy Jogosult felhasználói jogellenes adatkezeléséből, jogsértő tartalmából, engedély vagy tájékoztatás hiányából, tiltott használatából, a Foglaló személlyel fennálló jogviszonyából, harmadik személy jogának megsértéséből vagy a jelen ÁSZF megszegéséből ered, kivéve, amennyiben az igény közvetlenül a Szolgáltató saját, felróható szerződésszegésére vezethető vissza.</w:t>
      </w:r>
    </w:p>
    <w:p>
      <w:pPr>
        <w:pStyle w:val="Heading1"/>
        <w:keepNext/>
        <w:keepNext/>
      </w:pPr>
      <w:r>
        <w:t>22. Felfüggesztés, felmondás és megszűnés</w:t>
      </w:r>
    </w:p>
    <w:p>
      <w:pPr>
        <w:spacing w:after="90" w:line="252" w:lineRule="auto"/>
        <w:keepLines/>
      </w:pPr>
      <w:r>
        <w:t>22.1. A rendes előfizetési szerződés határozatlan időre jön létre. Az Előfizető az automatikus megújulást bármikor lemondhatja; a felmondás az aktuális, már kifizetett Előfizetési időszak végén lép hatályba. A felmondás a Szolgáltatás erre szolgáló felületén vagy a hello@devenit.hu címre küldött, azonosítható elektronikus nyilatkozattal tehető meg.</w:t>
      </w:r>
    </w:p>
    <w:p>
      <w:pPr>
        <w:spacing w:after="90" w:line="252" w:lineRule="auto"/>
        <w:keepLines/>
      </w:pPr>
      <w:r>
        <w:t>22.2. A Szolgáltató a szerződést harminc napos felmondási idővel, indokolás nélkül rendes felmondással megszüntetheti. Ha a Szolgáltató az Előfizető szerződésszegése nélkül, a már kifizetett Előfizetési időszak vége előtt szünteti meg a hozzáférést, a fel nem használt időszakra eső díjat időarányosan visszatéríti.</w:t>
      </w:r>
    </w:p>
    <w:p>
      <w:pPr>
        <w:spacing w:after="90" w:line="252" w:lineRule="auto"/>
        <w:keepLines/>
      </w:pPr>
      <w:r>
        <w:t>22.3. A Szolgáltató előzetes értesítés nélkül ideiglenesen korlátozhatja vagy felfüggesztheti a fiókot, ha jogosulatlan hozzáférés, támadás, súlyos információbiztonsági vagy adatvédelmi kockázat, jogellenes használat, tömeges kéretlen üzenetküldés, fizetési visszaélés vagy más Előfizetők működését veszélyeztető tevékenység gyanúja merül fel. A Szolgáltató az Előfizetőt az intézkedésről, amint az észszerűen lehetséges, tájékoztatja.</w:t>
      </w:r>
    </w:p>
    <w:p>
      <w:pPr>
        <w:spacing w:after="90" w:line="252" w:lineRule="auto"/>
        <w:keepLines/>
      </w:pPr>
      <w:r>
        <w:t>22.4. A Szolgáltató azonnali hatállyal felmondhatja a szerződést, ha az Előfizető lényeges szerződésszegését a Szolgáltató felszólítása ellenére, az abban meghatározott észszerű határidőn belül nem orvosolja; harminc napot meghaladó fizetési késedelemben van; ismételten vagy súlyosan megsérti a tiltott használatra, adatvédelemre, szellemi tulajdonra vagy biztonságra vonatkozó rendelkezéseket; vagy a jogviszony fenntartása a Szolgáltató számára jogellenessé vagy észszerűtlenül kockázatossá válna.</w:t>
      </w:r>
    </w:p>
    <w:p>
      <w:pPr>
        <w:spacing w:after="90" w:line="252" w:lineRule="auto"/>
        <w:keepLines/>
      </w:pPr>
      <w:r>
        <w:t>22.5. A felfüggesztés a szerződést nem szünteti meg, az Ügyféladatokat nem törli automatikusan, és az Előfizetőt nem mentesíti az esedékes díjak megfizetése alól, ha a felfüggesztés oka az Előfizető érdekkörében merült fel.</w:t>
      </w:r>
    </w:p>
    <w:p>
      <w:pPr>
        <w:spacing w:after="90" w:line="252" w:lineRule="auto"/>
        <w:keepLines/>
      </w:pPr>
      <w:r>
        <w:t>22.6. A Szolgáltatás szüneteltetésére nincs lehetőség. Az Előfizető lemondhatja az automatikus megújulást, és a már kifizetett időszak végéig használhatja a Szolgáltatást. Későbbi új előfizetésre az akkor hatályos feltételek és listaárak irányadók; a korábban megszűnt promóciós kedvezmény nem áll vissza.</w:t>
      </w:r>
    </w:p>
    <w:p>
      <w:pPr>
        <w:spacing w:after="90" w:line="252" w:lineRule="auto"/>
        <w:keepLines/>
      </w:pPr>
      <w:r>
        <w:t>22.7. A szerződés megszűnésével az Előfizető használati joga és a Jogosult felhasználók hozzáférése megszűnik. Az adatok exportjára és törlésére a 19. fejezet irányadó. A megszűnés nem érinti a korábban keletkezett díjfizetési, titoktartási, felelősségi, helytállási, szellemi tulajdoni és adatvédelmi kötelezettségeket.</w:t>
      </w:r>
    </w:p>
    <w:p>
      <w:pPr>
        <w:pStyle w:val="Heading1"/>
        <w:keepNext/>
        <w:keepNext/>
      </w:pPr>
      <w:r>
        <w:t>23. Az ÁSZF, a díjak, a Szolgáltatás és az infrastruktúra módosítása</w:t>
      </w:r>
    </w:p>
    <w:p>
      <w:pPr>
        <w:spacing w:after="90" w:line="252" w:lineRule="auto"/>
        <w:keepLines/>
      </w:pPr>
      <w:r>
        <w:t>23.1. A Szolgáltató jogosult a jelen ÁSZF-et, a listaárakat, a csomagok kapacitását és a Szolgáltatás kereskedelmi vagy műszaki feltételeit egyoldalúan módosítani, ha a módosítást jogszabályváltozás, hatósági elvárás, biztonsági vagy technológiai követelmény, a Szolgáltatás fejlesztése, a költségek vagy piaci körülmények változása, illetve az üzleti modell fenntartható működtetése indokolja.</w:t>
      </w:r>
    </w:p>
    <w:p>
      <w:pPr>
        <w:spacing w:after="90" w:line="252" w:lineRule="auto"/>
        <w:keepLines/>
      </w:pPr>
      <w:r>
        <w:t>23.2. A Szolgáltató az Előfizetőt hátrányosan érintő lényeges ÁSZF- vagy díjmódosításról legalább harminc nappal a hatálybalépés előtt elektronikus levélben és a honlapon értesíti. Az értesítés tartalmazza a módosítás lényegét, a hatálybalépés napját és az Előfizető felmondási jogára vonatkozó tájékoztatást.</w:t>
      </w:r>
    </w:p>
    <w:p>
      <w:pPr>
        <w:spacing w:after="90" w:line="252" w:lineRule="auto"/>
        <w:keepLines/>
      </w:pPr>
      <w:r>
        <w:t>23.3. Az Előfizető a módosítás hatálybalépéséig felmondhatja a szerződést. Ha az Előfizető a módosítás hatálybalépését követően tovább használja a Szolgáltatást, a módosított feltételeket elfogadottnak kell tekinteni, feltéve, hogy a Szolgáltató az előzetes tájékoztatási kötelezettségét teljesítette. A Szolgáltató a lényeges módosítások ismételt, kifejezett elektronikus elfogadását is előírhatja.</w:t>
      </w:r>
    </w:p>
    <w:p>
      <w:pPr>
        <w:spacing w:after="90" w:line="252" w:lineRule="auto"/>
        <w:keepLines/>
      </w:pPr>
      <w:r>
        <w:t>23.4. A 8.1. pont szerinti harminc százalékos kedvezmény listaármódosítás esetén is megmarad, és a módosított listaárból számítandó, feltéve, hogy az előfizetés megszakítás nélkül fennáll.</w:t>
      </w:r>
    </w:p>
    <w:p>
      <w:pPr>
        <w:spacing w:after="90" w:line="252" w:lineRule="auto"/>
        <w:keepLines/>
      </w:pPr>
      <w:r>
        <w:t>23.5. A jogszabályi, biztonsági, adatvédelmi vagy a Szolgáltatás működőképességének megőrzéséhez szükséges sürgős módosítás rövidebb határidővel vagy azonnal hatályba léptethető. A Szolgáltató ilyen esetben az Előfizetőt a körülményekhez képest indokolatlan késedelem nélkül tájékoztatja.</w:t>
      </w:r>
    </w:p>
    <w:p>
      <w:pPr>
        <w:spacing w:after="90" w:line="252" w:lineRule="auto"/>
        <w:keepLines/>
      </w:pPr>
      <w:r>
        <w:t>23.6. Nem minősül lényeges ÁSZF-módosításnak a nyilvánvaló elírás, helyesírási hiba, pontatlan hivatkozás vagy szolgáltatói adat kijavítása, továbbá olyan technikai pontosítás, amely az Előfizető jogait vagy kötelezettségeit érdemben nem érinti.</w:t>
      </w:r>
    </w:p>
    <w:p>
      <w:pPr>
        <w:spacing w:after="90" w:line="252" w:lineRule="auto"/>
        <w:keepLines/>
      </w:pPr>
      <w:r>
        <w:t>23.7. A Szolgáltató jogosult a Szolgáltatást más domainnévre, szerverre, tárhelyre, adatbázis-környezetre vagy más megfelelő technikai infrastruktúrára áthelyezni, feltéve, hogy a szolgáltatás folytonosságára és az adatbiztonság fenntartására törekszik. Lényeges változásról előzetesen értesítést ad; sürgős biztonsági vagy szolgáltatás-folytonossági áthelyezés előzetes értesítés nélkül is végrehajtható.</w:t>
      </w:r>
    </w:p>
    <w:p>
      <w:pPr>
        <w:pStyle w:val="Heading1"/>
        <w:keepNext/>
        <w:keepNext/>
      </w:pPr>
      <w:r>
        <w:t>24. Értesítések és kapcsolattartás</w:t>
      </w:r>
    </w:p>
    <w:p>
      <w:pPr>
        <w:spacing w:after="90" w:line="252" w:lineRule="auto"/>
        <w:keepLines/>
      </w:pPr>
      <w:r>
        <w:t>24.1. A felek a szerződéssel kapcsolatos jognyilatkozatokat és értesítéseket az Előfizető által megadott kapcsolattartási e-mail-címre, a Szolgáltató hello@devenit.hu címére, illetve a Szolgáltatás vagy a Hibabejelentő felület erre szolgáló funkcióján keresztül küldik.</w:t>
      </w:r>
    </w:p>
    <w:p>
      <w:pPr>
        <w:spacing w:after="90" w:line="252" w:lineRule="auto"/>
        <w:keepLines/>
      </w:pPr>
      <w:r>
        <w:t>24.2. Az elektronikus üzenet akkor tekintendő megérkezettnek, amikor a címzett számára hozzáférhetővé válik, feltéve, hogy a küldő nem kap kézbesítési hibajelzést. Ellenkező bizonyítás hiányában a munkanapon elküldött elektronikus üzenet a következő munkanapon hozzáférhetőnek minősül.</w:t>
      </w:r>
    </w:p>
    <w:p>
      <w:pPr>
        <w:spacing w:after="90" w:line="252" w:lineRule="auto"/>
        <w:keepLines/>
      </w:pPr>
      <w:r>
        <w:t>24.3. Az Előfizető köteles kapcsolattartási e-mail-címét naprakészen tartani, az elektronikus értesítéseket rendszeresen ellenőrizni, és a cím megváltozását haladéktalanul bejelenteni. A hibás, elavult vagy nem ellenőrzött elérhetőségből eredő következmények az Előfizetőt terhelik.</w:t>
      </w:r>
    </w:p>
    <w:p>
      <w:pPr>
        <w:spacing w:after="90" w:line="252" w:lineRule="auto"/>
        <w:keepLines/>
      </w:pPr>
      <w:r>
        <w:t>24.4. A műszaki, adatvédelmi, biztonsági és szerződéses bejelentések elsődleges helye a Hibabejelentő felület. A hello@devenit.hu cím akkor használható elsődleges bejelentésre, ha a Hibabejelentő felület nem érhető el, vagy a bejelentés jellege azt indokolja.</w:t>
      </w:r>
    </w:p>
    <w:p>
      <w:pPr>
        <w:pStyle w:val="Heading1"/>
        <w:keepNext/>
        <w:keepNext/>
      </w:pPr>
      <w:r>
        <w:t>25. Vis maior</w:t>
      </w:r>
    </w:p>
    <w:p>
      <w:pPr>
        <w:spacing w:after="90" w:line="252" w:lineRule="auto"/>
        <w:keepLines/>
      </w:pPr>
      <w:r>
        <w:t>25.1. Egyik fél sem felel a szerződéses kötelezettségének olyan késedelméért vagy elmaradásáért, amely az ellenőrzési körén kívül eső, a szerződéskötéskor észszerűen előre nem látható és észszerű intézkedésekkel el nem hárítható esemény következménye.</w:t>
      </w:r>
    </w:p>
    <w:p>
      <w:pPr>
        <w:spacing w:after="90" w:line="252" w:lineRule="auto"/>
        <w:keepLines/>
      </w:pPr>
      <w:r>
        <w:t>25.2. Vis maiornak minősülhet különösen természeti katasztrófa, tűz, árvíz, háború, zavargás, terrorcselekmény, járványügyi intézkedés, országos vagy regionális távközlési, villamosenergia- vagy adatközponti kiesés, széles körű kibertámadás, hatósági intézkedés, munkabeszüntetés vagy olyan külső infrastruktúra-kiesés, amelyet az érintett fél észszerű intézkedésekkel sem tudott elhárítani.</w:t>
      </w:r>
    </w:p>
    <w:p>
      <w:pPr>
        <w:spacing w:after="90" w:line="252" w:lineRule="auto"/>
        <w:keepLines/>
      </w:pPr>
      <w:r>
        <w:t>25.3. Az érintett fél köteles a másik felet a vis maior eseményről és annak várható hatásáról észszerű időn belül tájékoztatni, és a következmények csökkentése, valamint a teljesítés helyreállítása érdekében az általában elvárható intézkedéseket megtenni.</w:t>
      </w:r>
    </w:p>
    <w:p>
      <w:pPr>
        <w:pStyle w:val="Heading1"/>
        <w:keepNext/>
        <w:keepNext/>
      </w:pPr>
      <w:r>
        <w:t>26. Irányadó jog, jogvita és záró rendelkezések</w:t>
      </w:r>
    </w:p>
    <w:p>
      <w:pPr>
        <w:spacing w:after="90" w:line="252" w:lineRule="auto"/>
        <w:keepLines/>
      </w:pPr>
      <w:r>
        <w:t>26.1. A jelen ÁSZF-re és az annak alapján létrejövő szerződésre Magyarország joga irányadó, különösen a Polgári Törvénykönyvről szóló 2013. évi V. törvény, az elektronikus kereskedelmi szolgáltatásokra vonatkozó jogszabályok, az Európai Parlament és a Tanács (EU) 2016/679 rendelete, valamint az információs önrendelkezési jogról szóló magyar jogszabály rendelkezései.</w:t>
      </w:r>
    </w:p>
    <w:p>
      <w:pPr>
        <w:spacing w:after="90" w:line="252" w:lineRule="auto"/>
        <w:keepLines/>
      </w:pPr>
      <w:r>
        <w:t>26.2. A felek a jogvitát elsődlegesen békés úton kísérlik meg rendezni. A vitát kezdeményező fél írásbeli értesítését követően a felek legalább tizenöt napig jóhiszemű egyeztetést folytatnak, kivéve, ha azonnali bírósági, hatósági vagy ideiglenes intézkedés a jog megóvásához szükséges.</w:t>
      </w:r>
    </w:p>
    <w:p>
      <w:pPr>
        <w:spacing w:after="90" w:line="252" w:lineRule="auto"/>
        <w:keepLines/>
      </w:pPr>
      <w:r>
        <w:t>26.3. A békés rendezés eredménytelensége esetén a felek – a hatáskörre és illetékességre vonatkozó kötelező jogszabályi rendelkezések keretei között – a Szolgáltató székhelye szerint hatáskörrel és illetékességgel rendelkező magyar bíróság kizárólagos illetékességét kötik ki.</w:t>
      </w:r>
    </w:p>
    <w:p>
      <w:pPr>
        <w:spacing w:after="90" w:line="252" w:lineRule="auto"/>
        <w:keepLines/>
      </w:pPr>
      <w:r>
        <w:t>26.4. Ha a jelen ÁSZF valamely rendelkezése érvénytelen, végrehajthatatlan vagy részben alkalmazhatatlan, az nem érinti a többi rendelkezés érvényességét. Az érintett rendelkezést olyan érvényes rendelkezéssel kell helyettesíteni, amely annak gazdasági és jogi céljához a lehető legközelebb áll.</w:t>
      </w:r>
    </w:p>
    <w:p>
      <w:pPr>
        <w:spacing w:after="90" w:line="252" w:lineRule="auto"/>
        <w:keepLines/>
      </w:pPr>
      <w:r>
        <w:t>26.5. A Szolgáltató valamely jogának nem gyakorlása vagy késedelmes gyakorlása nem minősül jogról való lemondásnak. Egyetlen jog vagy jogorvoslat gyakorlása nem zárja ki más jog vagy jogorvoslat gyakorlását.</w:t>
      </w:r>
    </w:p>
    <w:p>
      <w:pPr>
        <w:spacing w:after="90" w:line="252" w:lineRule="auto"/>
        <w:keepLines/>
      </w:pPr>
      <w:r>
        <w:t>26.6. Az Előfizető a szerződésből eredő jogait és kötelezettségeit a Szolgáltató előzetes írásbeli hozzájárulása nélkül nem ruházhatja át. A Szolgáltató a szerződést üzletág-átadás, jogutódlás vagy vállalkozási forma változása esetén az Előfizető előzetes értesítése mellett átruházhatja, feltéve, hogy az Előfizető jogai lényegesen nem csökkennek.</w:t>
      </w:r>
    </w:p>
    <w:p>
      <w:pPr>
        <w:spacing w:after="90" w:line="252" w:lineRule="auto"/>
        <w:keepLines/>
      </w:pPr>
      <w:r>
        <w:t>26.7. A jelen ÁSZF és az egyedi elektronikus visszaigazolás a felek teljes megállapodását képezi a Szolgáltatás tárgyában, és felvált minden korábbi, azonos tárgyú szóbeli vagy írásbeli egyeztetést, ajánlatot és nyilatkozatot, kivéve a kifejezetten hatályban tartott egyedi megállapodást.</w:t>
      </w:r>
    </w:p>
    <w:p>
      <w:pPr>
        <w:spacing w:after="90" w:line="252" w:lineRule="auto"/>
        <w:keepLines/>
      </w:pPr>
      <w:r>
        <w:t>26.8. A jelen ÁSZF hatálybalépésének napja a https://devenit.hu/idopontfoglalo/aszf oldalon történő közzététel napja.</w:t>
      </w:r>
    </w:p>
    <w:p>
      <w:r>
        <w:br w:type="page"/>
      </w:r>
    </w:p>
    <w:p>
      <w:pPr>
        <w:pStyle w:val="Heading1"/>
        <w:keepNext/>
        <w:keepNext/>
      </w:pPr>
      <w:r>
        <w:t>M1. melléklet – Szolgáltatási csomagok és díjak</w:t>
      </w:r>
    </w:p>
    <w:p>
      <w:pPr>
        <w:spacing w:after="90" w:line="252" w:lineRule="auto"/>
        <w:keepLines/>
      </w:pPr>
      <w:r>
        <w:t>M1.1. A jelen melléklet a 2.0 verziójú ÁSZF hatálybalépésekor alkalmazandó standard havi előfizetési díjakat és kapacitásokat tartalmazza.</w:t>
      </w:r>
    </w:p>
    <w:tbl>
      <w:tblPr>
        <w:tblW w:type="auto" w:w="0"/>
        <w:jc w:val="center"/>
        <w:tblLayout w:type="fixed"/>
        <w:tblLook w:firstColumn="1" w:firstRow="1" w:lastColumn="0" w:lastRow="0" w:noHBand="0" w:noVBand="1" w:val="04A0"/>
      </w:tblPr>
      <w:tblGrid>
        <w:gridCol w:w="1654"/>
        <w:gridCol w:w="1654"/>
        <w:gridCol w:w="1654"/>
        <w:gridCol w:w="1654"/>
        <w:gridCol w:w="1654"/>
        <w:gridCol w:w="1654"/>
      </w:tblGrid>
      <w:tr>
        <w:trPr>
          <w:cantSplit/>
          <w:tblHeader w:val="true"/>
        </w:trPr>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Csomag</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Havidíj</w:t>
            </w:r>
          </w:p>
        </w:tc>
        <w:tc>
          <w:tcPr>
            <w:tcW w:type="dxa" w:w="175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Foglalható munkatárs</w:t>
            </w:r>
          </w:p>
        </w:tc>
        <w:tc>
          <w:tcPr>
            <w:tcW w:type="dxa" w:w="170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Adminfelhasználó</w:t>
            </w:r>
          </w:p>
        </w:tc>
        <w:tc>
          <w:tcPr>
            <w:tcW w:type="dxa" w:w="124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Telephely</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Foglalások</w:t>
            </w:r>
          </w:p>
        </w:tc>
      </w:tr>
      <w:tr>
        <w:trPr>
          <w:cantSplit/>
        </w:trPr>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5"/>
              </w:rPr>
              <w:t>Egyéni</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3 990 Ft</w:t>
            </w:r>
          </w:p>
        </w:tc>
        <w:tc>
          <w:tcPr>
            <w:tcW w:type="dxa" w:w="175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1 fő</w:t>
            </w:r>
          </w:p>
        </w:tc>
        <w:tc>
          <w:tcPr>
            <w:tcW w:type="dxa" w:w="170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1 fő adminfiók</w:t>
            </w:r>
          </w:p>
        </w:tc>
        <w:tc>
          <w:tcPr>
            <w:tcW w:type="dxa" w:w="124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1</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Korlátlan</w:t>
            </w:r>
          </w:p>
        </w:tc>
      </w:tr>
      <w:tr>
        <w:trPr>
          <w:cantSplit/>
        </w:trPr>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5"/>
              </w:rPr>
              <w:t>Csapat</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5"/>
              </w:rPr>
              <w:t>7 990 Ft</w:t>
            </w:r>
          </w:p>
        </w:tc>
        <w:tc>
          <w:tcPr>
            <w:tcW w:type="dxa" w:w="175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5"/>
              </w:rPr>
              <w:t>legfeljebb 5 fő</w:t>
            </w:r>
          </w:p>
        </w:tc>
        <w:tc>
          <w:tcPr>
            <w:tcW w:type="dxa" w:w="170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5"/>
              </w:rPr>
              <w:t>legfeljebb 5</w:t>
            </w:r>
          </w:p>
        </w:tc>
        <w:tc>
          <w:tcPr>
            <w:tcW w:type="dxa" w:w="124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5"/>
              </w:rPr>
              <w:t>1</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5"/>
              </w:rPr>
              <w:t>Korlátlan</w:t>
            </w:r>
          </w:p>
        </w:tc>
      </w:tr>
      <w:tr>
        <w:trPr>
          <w:cantSplit/>
        </w:trPr>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5"/>
              </w:rPr>
              <w:t>Üzlet</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11 990 Ft</w:t>
            </w:r>
          </w:p>
        </w:tc>
        <w:tc>
          <w:tcPr>
            <w:tcW w:type="dxa" w:w="175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legfeljebb 15 fő</w:t>
            </w:r>
          </w:p>
        </w:tc>
        <w:tc>
          <w:tcPr>
            <w:tcW w:type="dxa" w:w="170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legfeljebb 15</w:t>
            </w:r>
          </w:p>
        </w:tc>
        <w:tc>
          <w:tcPr>
            <w:tcW w:type="dxa" w:w="1247"/>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legfeljebb 3</w:t>
            </w:r>
          </w:p>
        </w:tc>
        <w:tc>
          <w:tcPr>
            <w:tcW w:type="dxa" w:w="136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Korlátlan</w:t>
            </w:r>
          </w:p>
        </w:tc>
      </w:tr>
    </w:tbl>
    <w:p>
      <w:pPr>
        <w:spacing w:after="90" w:line="252" w:lineRule="auto"/>
        <w:keepLines/>
      </w:pPr>
      <w:r>
        <w:t>M1.2. A fenti összegek a hatálybalépéskor az Előfizető által fizetendő összegek. A Szolgáltató alanyi adómentes; adózási jogállásának változására a 6.1. pont irányadó.</w:t>
      </w:r>
    </w:p>
    <w:p>
      <w:pPr>
        <w:spacing w:after="90" w:line="252" w:lineRule="auto"/>
        <w:keepLines/>
      </w:pPr>
      <w:r>
        <w:t>M1.3. Az első tíz Előfizető részére biztosított harminc százalékos promóció alkalmazása esetén a fizetendő havi díjak a következők:</w:t>
      </w:r>
    </w:p>
    <w:tbl>
      <w:tblPr>
        <w:tblW w:type="auto" w:w="0"/>
        <w:jc w:val="center"/>
        <w:tblLayout w:type="fixed"/>
        <w:tblLook w:firstColumn="1" w:firstRow="1" w:lastColumn="0" w:lastRow="0" w:noHBand="0" w:noVBand="1" w:val="04A0"/>
      </w:tblPr>
      <w:tblGrid>
        <w:gridCol w:w="3307"/>
        <w:gridCol w:w="3307"/>
        <w:gridCol w:w="3307"/>
      </w:tblGrid>
      <w:tr>
        <w:trPr>
          <w:cantSplit/>
          <w:tblHeader w:val="true"/>
        </w:trPr>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Csomag</w:t>
            </w:r>
          </w:p>
        </w:tc>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Listaár</w:t>
            </w:r>
          </w:p>
        </w:tc>
        <w:tc>
          <w:tcPr>
            <w:tcW w:type="dxa" w:w="464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Harminc százalék kedvezménnyel fizetendő havidíj</w:t>
            </w:r>
          </w:p>
        </w:tc>
      </w:tr>
      <w:tr>
        <w:trPr>
          <w:cantSplit/>
        </w:trPr>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Egyéni</w:t>
            </w:r>
          </w:p>
        </w:tc>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3 990 Ft</w:t>
            </w:r>
          </w:p>
        </w:tc>
        <w:tc>
          <w:tcPr>
            <w:tcW w:type="dxa" w:w="464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2 793 Ft</w:t>
            </w:r>
          </w:p>
        </w:tc>
      </w:tr>
      <w:tr>
        <w:trPr>
          <w:cantSplit/>
        </w:trPr>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Csapat</w:t>
            </w:r>
          </w:p>
        </w:tc>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7 990 Ft</w:t>
            </w:r>
          </w:p>
        </w:tc>
        <w:tc>
          <w:tcPr>
            <w:tcW w:type="dxa" w:w="464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5 593 Ft</w:t>
            </w:r>
          </w:p>
        </w:tc>
      </w:tr>
      <w:tr>
        <w:trPr>
          <w:cantSplit/>
        </w:trPr>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Üzlet</w:t>
            </w:r>
          </w:p>
        </w:tc>
        <w:tc>
          <w:tcPr>
            <w:tcW w:type="dxa" w:w="226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11 990 Ft</w:t>
            </w:r>
          </w:p>
        </w:tc>
        <w:tc>
          <w:tcPr>
            <w:tcW w:type="dxa" w:w="4649"/>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8 393 Ft</w:t>
            </w:r>
          </w:p>
        </w:tc>
      </w:tr>
    </w:tbl>
    <w:p>
      <w:pPr>
        <w:spacing w:after="90" w:line="252" w:lineRule="auto"/>
        <w:keepLines/>
      </w:pPr>
      <w:r>
        <w:t>M1.4. A Szolgáltatási csomagok valamennyi mindenkori alapfunkciót és korlátlan számú foglalást tartalmaznak. Az online fizetés, számlázás, SMS-küldés, egyes integrációk és egyedi szolgáltatások külön díjazásúak vagy külső szolgáltatói díjhoz kötöttek lehetnek.</w:t>
      </w:r>
    </w:p>
    <w:p>
      <w:r>
        <w:br w:type="page"/>
      </w:r>
    </w:p>
    <w:p>
      <w:pPr>
        <w:pStyle w:val="Heading1"/>
        <w:keepNext/>
        <w:keepNext/>
      </w:pPr>
      <w:r>
        <w:t>M2. melléklet – Az adatfeldolgozás részletes leírása</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Tétel</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Leírás</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Adatkezelő</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Az Előfizető.</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Adatfeldolgozó</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Dévényi Tamás egyéni vállalkozó, DevenIT kereskedelmi megjelöléssel.</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Az adatfeldolgozás tárgya</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DevenIT időpontfoglaló Szolgáltatás működtetése, tárhelyi tárolása, karbantartása, biztonsági mentése és technikai támogatása.</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Az adatfeldolgozás időtartama</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szerződés fennállása, továbbá a megszűnést követő exportálási, törlési és biztonsági mentési időszak.</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Az adatfeldolgozás jellege és műveletei</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Gyűjtés, rögzítés, rendszerezés, tárolás, lekérdezés, megjelenítés, módosítás, továbbítás az Előfizető által beállított integrációk felé, korlátozás, mentés, helyreállítás, export, törlés és anonimizálás.</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Az adatfeldolgozás célja</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Foglalások kezelése, szolgáltatások, munkatársak és telephelyek adminisztrációja, értesítések, ügyféltámogatás, hibavizsgálat, biztonság, mentés, helyreállítás és adatexport.</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Érintettek kategóriái</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Foglaló személyek, az Előfizető ügyfelei és érdeklődői, Jogosult felhasználók, munkatársak, kapcsolattartók, valamint kiskorú javára történő foglalás esetén a kiskorú és törvényes képviselője.</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Személyes adatok típusai</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Név, e-mail-cím, telefonszám, foglalási időpont, választott szolgáltatás, telephely, munkatárs, foglalási előzmény, megjegyzés, értesítési beállítás, felhasználói azonosító, jogosultsági adat, technikai naplóadat, IP-cím és a szolgáltatás használatához kapcsolódó műszaki adatok.</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Különleges adatok</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Szolgáltatás rendszeres, nagy kockázatú különlegesadat-kezelésre nem került kialakításra. Diagnózis, lelet, TAJ-szám, részletes egészségügyi vagy más különleges adat kizárólag külön írásbeli megállapodás és megfelelő technikai, jogi feltételek alapján kezelhető.</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Adatkezelő jogai és kötelezettségei</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Az adatkezelési cél, jogalap, adatkör, megőrzési idő és címzettek meghatározása; az érintettek tájékoztatása; az utasítások jogszerűségének biztosítása; az érintetti és hatósági kötelezettségek teljesítése.</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Adatfeldolgozó fő kötelezettségei</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Dokumentált utasítás követése; titoktartás; megfelelő biztonsági intézkedések; érintetti kérelmek és incidenskezelés támogatása; aladatfeldolgozók szabályszerű igénybevétele; auditinformációk rendelkezésre bocsátása; az adatok visszaadása és törlése.</w:t>
            </w:r>
          </w:p>
        </w:tc>
      </w:tr>
    </w:tbl>
    <w:p>
      <w:pPr>
        <w:spacing w:after="90" w:line="252" w:lineRule="auto"/>
        <w:keepLines/>
      </w:pPr>
      <w:r>
        <w:t>M2.1. Az adatfeldolgozási megállapodásra a 16–19. fejezet rendelkezései alkalmazandók. Ellentmondás esetén a személyes adatok feldolgozását érintő kérdésben e melléklet és a 16–19. fejezet elsőbbséget élvez.</w:t>
      </w:r>
    </w:p>
    <w:p>
      <w:r>
        <w:br w:type="page"/>
      </w:r>
    </w:p>
    <w:p>
      <w:pPr>
        <w:pStyle w:val="Heading1"/>
        <w:keepNext/>
        <w:keepNext/>
      </w:pPr>
      <w:r>
        <w:t>M3. melléklet – Technikai és szervezési intézkedések, aladatfeldolgozók</w:t>
      </w:r>
    </w:p>
    <w:p>
      <w:pPr>
        <w:pStyle w:val="Heading2"/>
        <w:keepNext/>
        <w:keepNext/>
      </w:pPr>
      <w:r>
        <w:t>M3.1. Technikai és szervezési intézkedések</w:t>
      </w:r>
    </w:p>
    <w:tbl>
      <w:tblPr>
        <w:tblW w:type="auto" w:w="0"/>
        <w:jc w:val="center"/>
        <w:tblLayout w:type="fixed"/>
        <w:tblLook w:firstColumn="1" w:firstRow="1" w:lastColumn="0" w:lastRow="0" w:noHBand="0" w:noVBand="1" w:val="04A0"/>
      </w:tblPr>
      <w:tblGrid>
        <w:gridCol w:w="4961"/>
        <w:gridCol w:w="4961"/>
      </w:tblGrid>
      <w:tr>
        <w:trPr>
          <w:cantSplit/>
          <w:tblHeader w:val="true"/>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Intézkedési terület</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6"/>
              </w:rPr>
              <w:t>Alkalmazott intézkedés</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Hozzáférés-kezelés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Szerepkörök és jogosultságok szerinti hozzáférés; adminisztrátori hozzáférések korlátozása; hozzáférések visszavonása; szükséges legkisebb jogosultság elve.</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Adatátvitel</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webes kapcsolat titkosított csatornán történő biztosítása a technikai környezet által támogatott, korszerű protokoll alkalmazásával.</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Naplózás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működés, hibák, hozzáférések és biztonsági események kivizsgálásához szükséges technikai naplók kezelése, adatminimalizálással és hozzáférés-korlátozással.</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Frissítések és sérülékenységek</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rendszer, a kiszolgálói környezet és a felhasznált függőségek biztonsági és működési frissítéseinek kockázatalapú kezelése.</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Biztonsági mentés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Napi automatikus MySQL-adatbázis-mentés, az éles adatbázistól elkülönített mentési tárhelyen, főszabály szerint legfeljebb harminc napos megőrzéssel.</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Helyreállítás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A rendelkezésre álló mentések alapján észszerű helyreállítási eljárás; a teljes és veszteségmentes helyreállítás eredménye nem garantált.</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Incidenskezelés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Incidens azonosítása, hatásvizsgálata, korlátozása, helyreállítása, dokumentálása és az Előfizető indokolatlan késedelem nélküli értesítése.</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Személyi biztonság</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Szükséges ismeret elve, titoktartási kötelezettség, hozzáférés-korlátozás és a hozzáférések megszüntetése a jogosultság megszűnésekor.</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6"/>
              </w:rPr>
              <w:t>Adatminimalizálás és törlés</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6"/>
              </w:rPr>
              <w:t>A Szolgáltatás működéséhez szükséges adatok kezelése; szerződés megszűnésekor exportálási, aktív rendszerből történő törlési és mentési felülírási eljárás.</w:t>
            </w:r>
          </w:p>
        </w:tc>
      </w:tr>
      <w:tr>
        <w:trPr>
          <w:cantSplit/>
        </w:trPr>
        <w:tc>
          <w:tcPr>
            <w:tcW w:type="dxa" w:w="2608"/>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b/>
                <w:color w:val="1F1F1F"/>
                <w:sz w:val="16"/>
              </w:rPr>
              <w:t>Üzletmenet és infrastruktúra</w:t>
            </w:r>
          </w:p>
        </w:tc>
        <w:tc>
          <w:tcPr>
            <w:tcW w:type="dxa" w:w="6576"/>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FFFFF"/>
          </w:tcPr>
          <w:p>
            <w:pPr>
              <w:spacing w:after="0" w:before="0" w:line="240" w:lineRule="auto"/>
            </w:pPr>
            <w:r>
              <w:rPr>
                <w:rFonts w:ascii="Arial" w:hAnsi="Arial"/>
                <w:color w:val="1F1F1F"/>
                <w:sz w:val="16"/>
              </w:rPr>
              <w:t>Megbízható tárhely- és adatbázis-infrastruktúra igénybevétele, rendszeres állapotellenőrzés és a szolgáltatás helyreállítására irányuló észszerű eljárások.</w:t>
            </w:r>
          </w:p>
        </w:tc>
      </w:tr>
    </w:tbl>
    <w:p>
      <w:pPr>
        <w:pStyle w:val="Heading2"/>
        <w:keepNext/>
        <w:keepNext/>
      </w:pPr>
      <w:r>
        <w:t>M3.2. Aladatfeldolgozói lista</w:t>
      </w:r>
    </w:p>
    <w:tbl>
      <w:tblPr>
        <w:tblW w:type="auto" w:w="0"/>
        <w:jc w:val="center"/>
        <w:tblLayout w:type="fixed"/>
        <w:tblLook w:firstColumn="1" w:firstRow="1" w:lastColumn="0" w:lastRow="0" w:noHBand="0" w:noVBand="1" w:val="04A0"/>
      </w:tblPr>
      <w:tblGrid>
        <w:gridCol w:w="3307"/>
        <w:gridCol w:w="3307"/>
        <w:gridCol w:w="3307"/>
      </w:tblGrid>
      <w:tr>
        <w:trPr>
          <w:cantSplit/>
          <w:tblHeader w:val="true"/>
        </w:trPr>
        <w:tc>
          <w:tcPr>
            <w:tcW w:type="dxa" w:w="187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Aladatfeldolgozó</w:t>
            </w:r>
          </w:p>
        </w:tc>
        <w:tc>
          <w:tcPr>
            <w:tcW w:type="dxa" w:w="3402"/>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Székhely és azonosítók</w:t>
            </w:r>
          </w:p>
        </w:tc>
        <w:tc>
          <w:tcPr>
            <w:tcW w:type="dxa" w:w="3912"/>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5A2F7A"/>
          </w:tcPr>
          <w:p>
            <w:pPr>
              <w:spacing w:after="0" w:before="0" w:line="240" w:lineRule="auto"/>
            </w:pPr>
            <w:r>
              <w:rPr>
                <w:rFonts w:ascii="Arial" w:hAnsi="Arial"/>
                <w:b/>
                <w:color w:val="FFFFFF"/>
                <w:sz w:val="15"/>
              </w:rPr>
              <w:t>Adatfeldolgozási feladat</w:t>
            </w:r>
          </w:p>
        </w:tc>
      </w:tr>
      <w:tr>
        <w:trPr>
          <w:cantSplit/>
        </w:trPr>
        <w:tc>
          <w:tcPr>
            <w:tcW w:type="dxa" w:w="1871"/>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b/>
                <w:color w:val="1F1F1F"/>
                <w:sz w:val="15"/>
              </w:rPr>
              <w:t>Rackhost Zrt.</w:t>
            </w:r>
          </w:p>
        </w:tc>
        <w:tc>
          <w:tcPr>
            <w:tcW w:type="dxa" w:w="3402"/>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6722 Szeged, Tisza Lajos körút 41.; cégjegyzékszám: 06-10-000489; adószám: 25333572-2-06</w:t>
            </w:r>
          </w:p>
        </w:tc>
        <w:tc>
          <w:tcPr>
            <w:tcW w:type="dxa" w:w="3912"/>
            <w:vAlign w:val="center"/>
            <w:tcMar>
              <w:top w:w="90" w:type="dxa"/>
              <w:start w:w="110" w:type="dxa"/>
              <w:bottom w:w="90" w:type="dxa"/>
              <w:end w:w="110" w:type="dxa"/>
            </w:tcMar>
            <w:tcBorders>
              <w:top w:val="single" w:sz="5" w:color="D8C8E4"/>
              <w:left w:val="single" w:sz="5" w:color="D8C8E4"/>
              <w:bottom w:val="single" w:sz="5" w:color="D8C8E4"/>
              <w:right w:val="single" w:sz="5" w:color="D8C8E4"/>
            </w:tcBorders>
            <w:shd w:fill="F4EFF8"/>
          </w:tcPr>
          <w:p>
            <w:pPr>
              <w:spacing w:after="0" w:before="0" w:line="240" w:lineRule="auto"/>
            </w:pPr>
            <w:r>
              <w:rPr>
                <w:rFonts w:ascii="Arial" w:hAnsi="Arial"/>
                <w:color w:val="1F1F1F"/>
                <w:sz w:val="15"/>
              </w:rPr>
              <w:t>Webtárhely, MySQL-adatbázis-tárhely és kapcsolódó technikai infrastruktúra biztosítása.</w:t>
            </w:r>
          </w:p>
        </w:tc>
      </w:tr>
    </w:tbl>
    <w:p>
      <w:pPr>
        <w:spacing w:after="90" w:line="252" w:lineRule="auto"/>
        <w:keepLines/>
      </w:pPr>
      <w:r>
        <w:t>M3.2.1. Az aladatfeldolgozói lista változására a 18. fejezetben meghatározott előzetes értesítési és kifogásolási szabályok irányadók.</w:t>
      </w:r>
    </w:p>
    <w:p>
      <w:r>
        <w:br w:type="page"/>
      </w:r>
    </w:p>
    <w:p>
      <w:pPr>
        <w:pStyle w:val="Heading1"/>
        <w:keepNext/>
        <w:keepNext/>
      </w:pPr>
      <w:r>
        <w:t>M4. melléklet – Elektronikus elfogadó nyilatkozat</w:t>
      </w:r>
    </w:p>
    <w:p>
      <w:pPr>
        <w:pStyle w:val="Heading2"/>
        <w:keepNext/>
        <w:keepNext/>
      </w:pPr>
      <w:r>
        <w:t>M4.1. Online elfogadás</w:t>
      </w:r>
    </w:p>
    <w:p>
      <w:pPr>
        <w:pStyle w:val="LegalEmphasis"/>
        <w:spacing w:after="90" w:line="252" w:lineRule="auto"/>
        <w:keepLines/>
      </w:pPr>
      <w:r>
        <w:t>„A DevenIT időpontfoglaló Szolgáltatás Általános Szerződési Feltételeit megismertem, letöltési és tartós megőrzési lehetőségét biztosítottnak tekintem, és az ÁSZF-et elfogadom.”</w:t>
      </w:r>
    </w:p>
    <w:p>
      <w:pPr>
        <w:pStyle w:val="LegalEmphasis"/>
        <w:spacing w:after="90" w:line="252" w:lineRule="auto"/>
        <w:keepLines/>
      </w:pPr>
      <w:r>
        <w:t>„Kifejezetten elfogadom a Kiemelt rendelkezéseket, ideértve az automatikus megújulásra, a díj-visszatérítés korlátozására, a fejlesztés alatt álló jellegre, a rendelkezésre állásra, a felfüggesztésre, a felelősségkorlátozásra, a harmadik személyi igényekért való helytállásra, az üzletmenet-folytonosságra, az ÁSZF és díjak módosítására, az aladatfeldolgozókra és az illetékességre vonatkozó feltételeket.”</w:t>
      </w:r>
    </w:p>
    <w:p>
      <w:pPr>
        <w:pStyle w:val="Heading2"/>
        <w:keepNext/>
        <w:keepNext/>
      </w:pPr>
      <w:r>
        <w:t>M4.2. E-mailes elfogadás</w:t>
      </w:r>
    </w:p>
    <w:p>
      <w:pPr>
        <w:pStyle w:val="LegalEmphasis"/>
        <w:spacing w:after="90" w:line="252" w:lineRule="auto"/>
        <w:keepLines/>
      </w:pPr>
      <w:r>
        <w:t>„A [vállalkozás vagy szervezet neve] képviseletében kijelentem, hogy a DevenIT időpontfoglaló Szolgáltatás 2.0 verziójú Általános Szerződési Feltételeit a szerződéskötést megelőzően megismertem, letöltési és tartós megőrzési lehetőségét biztosítottnak tekintem, és azt a Kiemelt rendelkezésekkel együtt kifejezetten elfogadom. Kérem a Szolgáltatás aktiválását. Kijelentem, hogy a vállalkozás vagy szervezet képviseletére, illetve a szerződés megkötésére jogosult vagyok.”</w:t>
      </w:r>
    </w:p>
    <w:p>
      <w:pPr>
        <w:spacing w:after="90" w:line="252" w:lineRule="auto"/>
        <w:keepLines/>
      </w:pPr>
      <w:r>
        <w:t>M4.3. Az e-mailes elfogadásnak tartalmaznia kell legalább az Előfizető teljes nevét, adószámát vagy más nyilvántartási azonosítóját, a nyilatkozó személy nevét és a választott Szolgáltatási csomagot. A Szolgáltató a szerződés létrejöttét és a csomag aktiválását elektronikus úton visszaigazolja.</w:t>
      </w:r>
    </w:p>
    <w:p>
      <w:pPr>
        <w:spacing w:before="360"/>
        <w:jc w:val="center"/>
      </w:pPr>
      <w:r>
        <w:rPr>
          <w:rFonts w:ascii="Arial" w:hAnsi="Arial"/>
          <w:color w:val="5B5B5B"/>
          <w:sz w:val="17"/>
        </w:rPr>
        <w:t>— A dokumentum vége —</w:t>
      </w:r>
    </w:p>
    <w:sectPr w:rsidR="00FC693F" w:rsidRPr="0006063C" w:rsidSect="00034616">
      <w:headerReference w:type="default" r:id="rId9"/>
      <w:footerReference w:type="default" r:id="rId10"/>
      <w:pgSz w:w="11906" w:h="16838"/>
      <w:pgMar w:top="935" w:right="992" w:bottom="879" w:left="99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213"/>
      <w:gridCol w:w="3213"/>
      <w:gridCol w:w="3213"/>
    </w:tblGrid>
    <w:tr>
      <w:tc>
        <w:tcPr>
          <w:tcW w:type="dxa" w:w="3515"/>
          <w:tcMar>
            <w:top w:w="0" w:type="dxa"/>
            <w:start w:w="0" w:type="dxa"/>
            <w:bottom w:w="0" w:type="dxa"/>
            <w:end w:w="0" w:type="dxa"/>
          </w:tcMar>
          <w:tcBorders>
            <w:top w:val="nil" w:sz="0" w:color="FFFFFF"/>
            <w:left w:val="nil" w:sz="0" w:color="FFFFFF"/>
            <w:bottom w:val="nil" w:sz="0" w:color="FFFFFF"/>
            <w:right w:val="nil" w:sz="0" w:color="FFFFFF"/>
          </w:tcBorders>
        </w:tcPr>
        <w:p>
          <w:pPr>
            <w:jc w:val="left"/>
          </w:pPr>
          <w:r>
            <w:rPr>
              <w:rFonts w:ascii="Arial" w:hAnsi="Arial"/>
              <w:color w:val="5B5B5B"/>
              <w:sz w:val="15"/>
            </w:rPr>
            <w:t>DEVENIT-ASZF-IDŐPONTFOGLALÓ-2.0/2026</w:t>
          </w:r>
        </w:p>
      </w:tc>
      <w:tc>
        <w:tcPr>
          <w:tcW w:type="dxa" w:w="2381"/>
          <w:tcMar>
            <w:top w:w="0" w:type="dxa"/>
            <w:start w:w="0" w:type="dxa"/>
            <w:bottom w:w="0" w:type="dxa"/>
            <w:end w:w="0" w:type="dxa"/>
          </w:tcMar>
          <w:tcBorders>
            <w:top w:val="nil" w:sz="0" w:color="FFFFFF"/>
            <w:left w:val="nil" w:sz="0" w:color="FFFFFF"/>
            <w:bottom w:val="nil" w:sz="0" w:color="FFFFFF"/>
            <w:right w:val="nil" w:sz="0" w:color="FFFFFF"/>
          </w:tcBorders>
        </w:tcPr>
        <w:p>
          <w:pPr>
            <w:jc w:val="center"/>
          </w:pPr>
          <w:r>
            <w:rPr>
              <w:rFonts w:ascii="Arial" w:hAnsi="Arial"/>
              <w:color w:val="5B5B5B"/>
              <w:sz w:val="16"/>
            </w:rPr>
            <w:t xml:space="preserve">Oldal </w:t>
            <w:fldChar w:fldCharType="begin"/>
            <w:instrText xml:space="preserve"> PAGE </w:instrText>
            <w:fldChar w:fldCharType="end"/>
          </w:r>
          <w:r>
            <w:rPr>
              <w:rFonts w:ascii="Arial" w:hAnsi="Arial"/>
              <w:color w:val="5B5B5B"/>
              <w:sz w:val="16"/>
            </w:rPr>
            <w:t xml:space="preserve"> / </w:t>
          </w:r>
          <w:r>
            <w:rPr>
              <w:rFonts w:ascii="Arial" w:hAnsi="Arial"/>
              <w:color w:val="5B5B5B"/>
              <w:sz w:val="16"/>
            </w:rPr>
            <w:fldChar w:fldCharType="begin"/>
            <w:instrText xml:space="preserve"> NUMPAGES </w:instrText>
            <w:fldChar w:fldCharType="end"/>
          </w:r>
        </w:p>
      </w:tc>
      <w:tc>
        <w:tcPr>
          <w:tcW w:type="dxa" w:w="3515"/>
          <w:tcMar>
            <w:top w:w="0" w:type="dxa"/>
            <w:start w:w="0" w:type="dxa"/>
            <w:bottom w:w="0" w:type="dxa"/>
            <w:end w:w="0" w:type="dxa"/>
          </w:tcMar>
          <w:tcBorders>
            <w:top w:val="nil" w:sz="0" w:color="FFFFFF"/>
            <w:left w:val="nil" w:sz="0" w:color="FFFFFF"/>
            <w:bottom w:val="nil" w:sz="0" w:color="FFFFFF"/>
            <w:right w:val="nil" w:sz="0" w:color="FFFFFF"/>
          </w:tcBorders>
        </w:tcPr>
        <w:p>
          <w:pPr>
            <w:jc w:val="right"/>
          </w:pPr>
          <w:r>
            <w:rPr>
              <w:rFonts w:ascii="Arial" w:hAnsi="Arial"/>
              <w:color w:val="5B5B5B"/>
              <w:sz w:val="15"/>
            </w:rPr>
            <w:t>© DevenIT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5" w:space="4" w:color="D8C8E4"/>
      </w:pBdr>
    </w:pPr>
    <w:r>
      <w:rPr>
        <w:rFonts w:ascii="Arial" w:hAnsi="Arial"/>
        <w:b/>
        <w:color w:val="5A2F7A"/>
        <w:sz w:val="19"/>
      </w:rPr>
      <w:t>DevenIT</w:t>
    </w:r>
    <w:r>
      <w:rPr>
        <w:rFonts w:ascii="Arial" w:hAnsi="Arial"/>
        <w:color w:val="5B5B5B"/>
        <w:sz w:val="17"/>
      </w:rPr>
      <w:t xml:space="preserve">  |  Időpontfoglaló ÁSZF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2" w:lineRule="auto"/>
      <w:jc w:val="both"/>
    </w:pPr>
    <w:rPr>
      <w:rFonts w:ascii="Arial" w:hAnsi="Arial" w:eastAsia="Arial"/>
      <w:color w:val="1F1F1F"/>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rial" w:hAnsi="Arial" w:eastAsia="Arial"/>
      <w:b/>
      <w:bCs/>
      <w:color w:val="5A2F7A"/>
      <w:sz w:val="29"/>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rial" w:hAnsi="Arial" w:eastAsia="Arial"/>
      <w:b/>
      <w:bCs/>
      <w:color w:val="3D1F56"/>
      <w:sz w:val="22"/>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rial" w:hAnsi="Arial" w:eastAsia="Arial"/>
      <w:b/>
      <w:bCs/>
      <w:color w:val="8A5B4A"/>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rial" w:hAnsi="Arial" w:eastAsia="Arial"/>
      <w:b/>
      <w:color w:val="5A2F7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rial" w:hAnsi="Arial" w:eastAsia="Arial"/>
      <w:b w:val="0"/>
      <w:i w:val="0"/>
      <w:iCs/>
      <w:color w:val="5B5B5B"/>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18"/>
    </w:rPr>
  </w:style>
  <w:style w:type="paragraph" w:styleId="ListBullet2">
    <w:name w:val="List Bullet 2"/>
    <w:basedOn w:val="Normal"/>
    <w:uiPriority w:val="99"/>
    <w:unhideWhenUsed/>
    <w:rsid w:val="00326F90"/>
    <w:pPr>
      <w:numPr>
        <w:numId w:val="2"/>
      </w:numPr>
      <w:contextualSpacing/>
    </w:pPr>
    <w:rPr>
      <w:rFonts w:ascii="Arial" w:hAnsi="Arial"/>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after="80" w:line="240" w:lineRule="auto"/>
    </w:pPr>
    <w:rPr>
      <w:rFonts w:ascii="Arial" w:hAnsi="Arial"/>
      <w:i/>
      <w:color w:val="5B5B5B"/>
      <w:sz w:val="17"/>
    </w:rPr>
  </w:style>
  <w:style w:type="paragraph" w:customStyle="1" w:styleId="TOCManual">
    <w:name w:val="TOC Manual"/>
    <w:pPr>
      <w:tabs>
        <w:tab w:pos="9241" w:val="right" w:leader="dot"/>
      </w:tabs>
      <w:spacing w:after="36"/>
    </w:pPr>
    <w:rPr>
      <w:rFonts w:ascii="Arial" w:hAnsi="Arial"/>
      <w:sz w:val="18"/>
    </w:rPr>
  </w:style>
  <w:style w:type="paragraph" w:customStyle="1" w:styleId="LegalEmphasis">
    <w:name w:val="Legal Emphasis"/>
    <w:pPr>
      <w:spacing w:before="80" w:after="100"/>
      <w:ind w:left="255" w:right="113"/>
    </w:pPr>
    <w:rPr>
      <w:rFonts w:ascii="Arial" w:hAnsi="Arial"/>
      <w:b w:val="0"/>
      <w:color w:val="3D1F56"/>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DevenIT időpontfoglaló Általános Szerződési Feltételek</dc:title>
  <dc:subject>B2B SaaS szolgáltatás és adatfeldolgozási feltételek</dc:subject>
  <dc:creator>Dévényi Tamás e.v. – DevenIT</dc:creator>
  <cp:keywords>DevenIT, időpontfoglaló, ÁSZF, SaaS, adatfeldolgozás, GDPR</cp:keywords>
  <dc:description>2.0 verzió</dc:description>
  <cp:lastModifiedBy/>
  <cp:revision>1</cp:revision>
  <dcterms:created xsi:type="dcterms:W3CDTF">2013-12-23T23:15:00Z</dcterms:created>
  <dcterms:modified xsi:type="dcterms:W3CDTF">2013-12-23T23:15:00Z</dcterms:modified>
  <cp:category/>
</cp:coreProperties>
</file>